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CE00D6" w14:textId="66755571" w:rsidR="0072409D" w:rsidRPr="0072409D" w:rsidRDefault="0072409D" w:rsidP="0072409D">
      <w:pPr>
        <w:jc w:val="center"/>
        <w:rPr>
          <w:rFonts w:ascii="Times New Roman" w:hAnsi="Times New Roman" w:cs="Times New Roman"/>
        </w:rPr>
      </w:pPr>
      <w:bookmarkStart w:id="0" w:name="_Hlk95320461"/>
      <w:bookmarkEnd w:id="0"/>
      <w:r w:rsidRPr="0072409D">
        <w:rPr>
          <w:rFonts w:ascii="Times New Roman" w:hAnsi="Times New Roman" w:cs="Times New Roman"/>
        </w:rPr>
        <w:t>Supplementary materials related to the manuscript:</w:t>
      </w:r>
    </w:p>
    <w:p w14:paraId="06B31475" w14:textId="17219E99" w:rsidR="001C5477" w:rsidRPr="0072409D" w:rsidRDefault="001C5477" w:rsidP="0072409D">
      <w:pPr>
        <w:jc w:val="center"/>
        <w:rPr>
          <w:rFonts w:ascii="Times New Roman" w:hAnsi="Times New Roman" w:cs="Times New Roman"/>
          <w:b/>
          <w:bCs/>
          <w:sz w:val="28"/>
          <w:szCs w:val="28"/>
        </w:rPr>
      </w:pPr>
      <w:r w:rsidRPr="0072409D">
        <w:rPr>
          <w:rFonts w:ascii="Times New Roman" w:hAnsi="Times New Roman" w:cs="Times New Roman"/>
          <w:b/>
          <w:bCs/>
          <w:sz w:val="28"/>
          <w:szCs w:val="28"/>
        </w:rPr>
        <w:t xml:space="preserve">The collapse of the Laurentide-Cordilleran ice saddle and early opening of the Mackenzie Valley, Northwest Territories, constrained by </w:t>
      </w:r>
      <w:r w:rsidRPr="0072409D">
        <w:rPr>
          <w:rFonts w:ascii="Times New Roman" w:hAnsi="Times New Roman" w:cs="Times New Roman"/>
          <w:b/>
          <w:bCs/>
          <w:sz w:val="28"/>
          <w:szCs w:val="28"/>
          <w:vertAlign w:val="superscript"/>
        </w:rPr>
        <w:t>10</w:t>
      </w:r>
      <w:r w:rsidRPr="0072409D">
        <w:rPr>
          <w:rFonts w:ascii="Times New Roman" w:hAnsi="Times New Roman" w:cs="Times New Roman"/>
          <w:b/>
          <w:bCs/>
          <w:sz w:val="28"/>
          <w:szCs w:val="28"/>
        </w:rPr>
        <w:t>Be exposure dating</w:t>
      </w:r>
    </w:p>
    <w:p w14:paraId="1F248DB2" w14:textId="77777777" w:rsidR="001C5477" w:rsidRPr="00207AB0" w:rsidRDefault="001C5477" w:rsidP="001C5477">
      <w:pPr>
        <w:rPr>
          <w:rFonts w:ascii="Times New Roman" w:hAnsi="Times New Roman" w:cs="Times New Roman"/>
          <w:b/>
          <w:bCs/>
          <w:sz w:val="24"/>
          <w:szCs w:val="24"/>
        </w:rPr>
      </w:pPr>
      <w:r w:rsidRPr="00207AB0">
        <w:rPr>
          <w:rFonts w:ascii="Times New Roman" w:hAnsi="Times New Roman" w:cs="Times New Roman"/>
          <w:b/>
          <w:bCs/>
          <w:sz w:val="24"/>
          <w:szCs w:val="24"/>
        </w:rPr>
        <w:t>Authors:</w:t>
      </w:r>
    </w:p>
    <w:p w14:paraId="585C9A30" w14:textId="77777777" w:rsidR="001C5477" w:rsidRPr="00207AB0" w:rsidRDefault="001C5477" w:rsidP="001C5477">
      <w:pPr>
        <w:rPr>
          <w:rFonts w:ascii="Times New Roman" w:hAnsi="Times New Roman" w:cs="Times New Roman"/>
        </w:rPr>
      </w:pPr>
      <w:r w:rsidRPr="00207AB0">
        <w:rPr>
          <w:rFonts w:ascii="Times New Roman" w:hAnsi="Times New Roman" w:cs="Times New Roman"/>
        </w:rPr>
        <w:t>Benjamin J. Stoker</w:t>
      </w:r>
      <w:r w:rsidRPr="00207AB0">
        <w:rPr>
          <w:rFonts w:ascii="Times New Roman" w:hAnsi="Times New Roman" w:cs="Times New Roman"/>
          <w:vertAlign w:val="superscript"/>
        </w:rPr>
        <w:t>1*</w:t>
      </w:r>
      <w:r w:rsidRPr="00207AB0">
        <w:rPr>
          <w:rFonts w:ascii="Times New Roman" w:hAnsi="Times New Roman" w:cs="Times New Roman"/>
        </w:rPr>
        <w:t>, Martin Margold</w:t>
      </w:r>
      <w:r w:rsidRPr="00207AB0">
        <w:rPr>
          <w:rFonts w:ascii="Times New Roman" w:hAnsi="Times New Roman" w:cs="Times New Roman"/>
          <w:vertAlign w:val="superscript"/>
        </w:rPr>
        <w:t>1*</w:t>
      </w:r>
      <w:r w:rsidRPr="00207AB0">
        <w:rPr>
          <w:rFonts w:ascii="Times New Roman" w:hAnsi="Times New Roman" w:cs="Times New Roman"/>
        </w:rPr>
        <w:t>, John C. Gosse</w:t>
      </w:r>
      <w:r w:rsidRPr="00207AB0">
        <w:rPr>
          <w:rFonts w:ascii="Times New Roman" w:hAnsi="Times New Roman" w:cs="Times New Roman"/>
          <w:vertAlign w:val="superscript"/>
        </w:rPr>
        <w:t>2</w:t>
      </w:r>
      <w:r w:rsidRPr="00207AB0">
        <w:rPr>
          <w:rFonts w:ascii="Times New Roman" w:hAnsi="Times New Roman" w:cs="Times New Roman"/>
        </w:rPr>
        <w:t>, Alan J. Hidy</w:t>
      </w:r>
      <w:r w:rsidRPr="00207AB0">
        <w:rPr>
          <w:rFonts w:ascii="Times New Roman" w:hAnsi="Times New Roman" w:cs="Times New Roman"/>
          <w:vertAlign w:val="superscript"/>
        </w:rPr>
        <w:t>3</w:t>
      </w:r>
      <w:r w:rsidRPr="00207AB0">
        <w:rPr>
          <w:rFonts w:ascii="Times New Roman" w:hAnsi="Times New Roman" w:cs="Times New Roman"/>
        </w:rPr>
        <w:t>, Alistair J. Monteath</w:t>
      </w:r>
      <w:r w:rsidRPr="00207AB0">
        <w:rPr>
          <w:rFonts w:ascii="Times New Roman" w:hAnsi="Times New Roman" w:cs="Times New Roman"/>
          <w:vertAlign w:val="superscript"/>
        </w:rPr>
        <w:t>4</w:t>
      </w:r>
      <w:r w:rsidRPr="00207AB0">
        <w:rPr>
          <w:rFonts w:ascii="Times New Roman" w:hAnsi="Times New Roman" w:cs="Times New Roman"/>
        </w:rPr>
        <w:t>, Joseph M. Young</w:t>
      </w:r>
      <w:r w:rsidRPr="00207AB0">
        <w:rPr>
          <w:rFonts w:ascii="Times New Roman" w:hAnsi="Times New Roman" w:cs="Times New Roman"/>
          <w:vertAlign w:val="superscript"/>
        </w:rPr>
        <w:t>4</w:t>
      </w:r>
      <w:r w:rsidRPr="00207AB0">
        <w:rPr>
          <w:rFonts w:ascii="Times New Roman" w:hAnsi="Times New Roman" w:cs="Times New Roman"/>
        </w:rPr>
        <w:t>, Niall Gandy</w:t>
      </w:r>
      <w:r w:rsidRPr="00207AB0">
        <w:rPr>
          <w:rFonts w:ascii="Times New Roman" w:hAnsi="Times New Roman" w:cs="Times New Roman"/>
          <w:vertAlign w:val="superscript"/>
        </w:rPr>
        <w:t>5,6</w:t>
      </w:r>
      <w:r w:rsidRPr="00207AB0">
        <w:rPr>
          <w:rFonts w:ascii="Times New Roman" w:hAnsi="Times New Roman" w:cs="Times New Roman"/>
        </w:rPr>
        <w:t>, Lauren J. Gregoire</w:t>
      </w:r>
      <w:r w:rsidRPr="00207AB0">
        <w:rPr>
          <w:rFonts w:ascii="Times New Roman" w:hAnsi="Times New Roman" w:cs="Times New Roman"/>
          <w:vertAlign w:val="superscript"/>
        </w:rPr>
        <w:t>6</w:t>
      </w:r>
      <w:r w:rsidRPr="00207AB0">
        <w:rPr>
          <w:rFonts w:ascii="Times New Roman" w:hAnsi="Times New Roman" w:cs="Times New Roman"/>
        </w:rPr>
        <w:t xml:space="preserve">, </w:t>
      </w:r>
      <w:r>
        <w:rPr>
          <w:rFonts w:ascii="Times New Roman" w:hAnsi="Times New Roman" w:cs="Times New Roman"/>
        </w:rPr>
        <w:t>Sophie L. Norris</w:t>
      </w:r>
      <w:r>
        <w:rPr>
          <w:rFonts w:ascii="Times New Roman" w:hAnsi="Times New Roman" w:cs="Times New Roman"/>
          <w:vertAlign w:val="superscript"/>
        </w:rPr>
        <w:t>7</w:t>
      </w:r>
      <w:r>
        <w:rPr>
          <w:rFonts w:ascii="Times New Roman" w:hAnsi="Times New Roman" w:cs="Times New Roman"/>
        </w:rPr>
        <w:t xml:space="preserve"> </w:t>
      </w:r>
      <w:r w:rsidRPr="00207AB0">
        <w:rPr>
          <w:rFonts w:ascii="Times New Roman" w:hAnsi="Times New Roman" w:cs="Times New Roman"/>
        </w:rPr>
        <w:t>and Duane Froese</w:t>
      </w:r>
      <w:r w:rsidRPr="00207AB0">
        <w:rPr>
          <w:rFonts w:ascii="Times New Roman" w:hAnsi="Times New Roman" w:cs="Times New Roman"/>
          <w:vertAlign w:val="superscript"/>
        </w:rPr>
        <w:t>4*</w:t>
      </w:r>
    </w:p>
    <w:p w14:paraId="739409F0" w14:textId="77777777" w:rsidR="001C5477" w:rsidRPr="00207AB0" w:rsidRDefault="001C5477" w:rsidP="001C5477">
      <w:pPr>
        <w:rPr>
          <w:rFonts w:ascii="Times New Roman" w:hAnsi="Times New Roman" w:cs="Times New Roman"/>
          <w:sz w:val="20"/>
          <w:szCs w:val="20"/>
        </w:rPr>
      </w:pPr>
      <w:r w:rsidRPr="00207AB0">
        <w:rPr>
          <w:rFonts w:ascii="Times New Roman" w:hAnsi="Times New Roman" w:cs="Times New Roman"/>
          <w:sz w:val="20"/>
          <w:szCs w:val="20"/>
          <w:vertAlign w:val="superscript"/>
        </w:rPr>
        <w:t>1</w:t>
      </w:r>
      <w:r w:rsidRPr="00207AB0">
        <w:rPr>
          <w:rFonts w:ascii="Times New Roman" w:hAnsi="Times New Roman" w:cs="Times New Roman"/>
          <w:sz w:val="20"/>
          <w:szCs w:val="20"/>
        </w:rPr>
        <w:t>Department of Physical Geography and Geoecology, Charles University, Albertov 6, 12843 Praha 2, Czech Republic</w:t>
      </w:r>
    </w:p>
    <w:p w14:paraId="114E289D" w14:textId="77777777" w:rsidR="001C5477" w:rsidRPr="00207AB0" w:rsidRDefault="001C5477" w:rsidP="001C5477">
      <w:pPr>
        <w:rPr>
          <w:rFonts w:ascii="Times New Roman" w:hAnsi="Times New Roman" w:cs="Times New Roman"/>
          <w:sz w:val="20"/>
          <w:szCs w:val="20"/>
        </w:rPr>
      </w:pPr>
      <w:r w:rsidRPr="00207AB0">
        <w:rPr>
          <w:rFonts w:ascii="Times New Roman" w:hAnsi="Times New Roman" w:cs="Times New Roman"/>
          <w:sz w:val="20"/>
          <w:szCs w:val="20"/>
          <w:vertAlign w:val="superscript"/>
        </w:rPr>
        <w:t>2</w:t>
      </w:r>
      <w:r w:rsidRPr="00207AB0">
        <w:rPr>
          <w:rFonts w:ascii="Times New Roman" w:hAnsi="Times New Roman" w:cs="Times New Roman"/>
          <w:sz w:val="20"/>
          <w:szCs w:val="20"/>
        </w:rPr>
        <w:t xml:space="preserve">Department of Earth Sciences, Dalhousie University, 1355 Oxford Street, Halifax B3H 4R2, Nova Scotia, Canada, </w:t>
      </w:r>
    </w:p>
    <w:p w14:paraId="7E78BC37" w14:textId="77777777" w:rsidR="001C5477" w:rsidRPr="00207AB0" w:rsidRDefault="001C5477" w:rsidP="001C5477">
      <w:pPr>
        <w:rPr>
          <w:rFonts w:ascii="Times New Roman" w:hAnsi="Times New Roman" w:cs="Times New Roman"/>
          <w:sz w:val="20"/>
          <w:szCs w:val="20"/>
        </w:rPr>
      </w:pPr>
      <w:r w:rsidRPr="00207AB0">
        <w:rPr>
          <w:rFonts w:ascii="Times New Roman" w:hAnsi="Times New Roman" w:cs="Times New Roman"/>
          <w:sz w:val="20"/>
          <w:szCs w:val="20"/>
          <w:vertAlign w:val="superscript"/>
        </w:rPr>
        <w:t>3</w:t>
      </w:r>
      <w:r w:rsidRPr="00207AB0">
        <w:rPr>
          <w:rFonts w:ascii="Times New Roman" w:hAnsi="Times New Roman" w:cs="Times New Roman"/>
          <w:sz w:val="20"/>
          <w:szCs w:val="20"/>
        </w:rPr>
        <w:t>Centre for Accelerator Mass Spectrometry, Lawrence Livermore National Laboratory, 7000 East Avenue, Livermore</w:t>
      </w:r>
      <w:r>
        <w:rPr>
          <w:rFonts w:ascii="Times New Roman" w:hAnsi="Times New Roman" w:cs="Times New Roman"/>
          <w:sz w:val="20"/>
          <w:szCs w:val="20"/>
        </w:rPr>
        <w:t>,</w:t>
      </w:r>
      <w:r w:rsidRPr="00207AB0">
        <w:rPr>
          <w:rFonts w:ascii="Times New Roman" w:hAnsi="Times New Roman" w:cs="Times New Roman"/>
          <w:sz w:val="20"/>
          <w:szCs w:val="20"/>
        </w:rPr>
        <w:t xml:space="preserve"> CA 94550, USA</w:t>
      </w:r>
    </w:p>
    <w:p w14:paraId="78D9781F" w14:textId="77777777" w:rsidR="001C5477" w:rsidRPr="00207AB0" w:rsidRDefault="001C5477" w:rsidP="001C5477">
      <w:pPr>
        <w:rPr>
          <w:rFonts w:ascii="Times New Roman" w:hAnsi="Times New Roman" w:cs="Times New Roman"/>
          <w:sz w:val="20"/>
          <w:szCs w:val="20"/>
        </w:rPr>
      </w:pPr>
      <w:r w:rsidRPr="00207AB0">
        <w:rPr>
          <w:rFonts w:ascii="Times New Roman" w:hAnsi="Times New Roman" w:cs="Times New Roman"/>
          <w:sz w:val="20"/>
          <w:szCs w:val="20"/>
          <w:vertAlign w:val="superscript"/>
        </w:rPr>
        <w:t>4</w:t>
      </w:r>
      <w:r w:rsidRPr="00207AB0">
        <w:rPr>
          <w:rFonts w:ascii="Times New Roman" w:hAnsi="Times New Roman" w:cs="Times New Roman"/>
          <w:sz w:val="20"/>
          <w:szCs w:val="20"/>
        </w:rPr>
        <w:t xml:space="preserve">Department of Earth and Atmospheric Sciences, 1-26 Earth Sciences Building, University of Alberta, Edmonton T6G 2E3, Alberta, Canada, </w:t>
      </w:r>
    </w:p>
    <w:p w14:paraId="49E23E10" w14:textId="77777777" w:rsidR="001C5477" w:rsidRPr="00207AB0" w:rsidRDefault="001C5477" w:rsidP="001C5477">
      <w:pPr>
        <w:rPr>
          <w:rFonts w:ascii="Times New Roman" w:hAnsi="Times New Roman" w:cs="Times New Roman"/>
          <w:sz w:val="20"/>
          <w:szCs w:val="20"/>
        </w:rPr>
      </w:pPr>
      <w:r w:rsidRPr="00207AB0">
        <w:rPr>
          <w:rFonts w:ascii="Times New Roman" w:hAnsi="Times New Roman" w:cs="Times New Roman"/>
          <w:sz w:val="20"/>
          <w:szCs w:val="20"/>
          <w:vertAlign w:val="superscript"/>
        </w:rPr>
        <w:t>5</w:t>
      </w:r>
      <w:r w:rsidRPr="00207AB0">
        <w:rPr>
          <w:rFonts w:ascii="Times New Roman" w:hAnsi="Times New Roman" w:cs="Times New Roman"/>
          <w:sz w:val="20"/>
          <w:szCs w:val="20"/>
        </w:rPr>
        <w:t xml:space="preserve"> Department of Natural and Built Environment, Sheffield Hallam University, Sheffield, United Kingdom, S1 1WB</w:t>
      </w:r>
    </w:p>
    <w:p w14:paraId="0773CEF2" w14:textId="77777777" w:rsidR="001C5477" w:rsidRDefault="001C5477" w:rsidP="001C5477">
      <w:pPr>
        <w:rPr>
          <w:rFonts w:ascii="Times New Roman" w:hAnsi="Times New Roman" w:cs="Times New Roman"/>
          <w:sz w:val="20"/>
          <w:szCs w:val="20"/>
        </w:rPr>
      </w:pPr>
      <w:r w:rsidRPr="00207AB0">
        <w:rPr>
          <w:rFonts w:ascii="Times New Roman" w:hAnsi="Times New Roman" w:cs="Times New Roman"/>
          <w:sz w:val="20"/>
          <w:szCs w:val="20"/>
          <w:vertAlign w:val="superscript"/>
        </w:rPr>
        <w:t>6</w:t>
      </w:r>
      <w:r w:rsidRPr="00207AB0">
        <w:rPr>
          <w:rFonts w:ascii="Times New Roman" w:hAnsi="Times New Roman" w:cs="Times New Roman"/>
          <w:sz w:val="20"/>
          <w:szCs w:val="20"/>
        </w:rPr>
        <w:t>School of Earth and Environment, University of Leeds, Leeds LS2 9JT, UK</w:t>
      </w:r>
    </w:p>
    <w:p w14:paraId="00D6D94F" w14:textId="77777777" w:rsidR="001C5477" w:rsidRPr="00CC4F08" w:rsidRDefault="001C5477" w:rsidP="001C5477">
      <w:pPr>
        <w:rPr>
          <w:rFonts w:ascii="Times New Roman" w:eastAsia="Times New Roman" w:hAnsi="Times New Roman" w:cs="Times New Roman"/>
          <w:i/>
          <w:iCs/>
          <w:color w:val="000000" w:themeColor="text1"/>
          <w:sz w:val="36"/>
          <w:szCs w:val="36"/>
        </w:rPr>
      </w:pPr>
      <w:r>
        <w:rPr>
          <w:rFonts w:ascii="Times New Roman" w:hAnsi="Times New Roman" w:cs="Times New Roman"/>
          <w:sz w:val="20"/>
          <w:szCs w:val="20"/>
          <w:vertAlign w:val="superscript"/>
        </w:rPr>
        <w:t>7</w:t>
      </w:r>
      <w:r w:rsidRPr="009E5FC7">
        <w:rPr>
          <w:rFonts w:ascii="Times New Roman" w:eastAsia="Times New Roman" w:hAnsi="Times New Roman" w:cs="Times New Roman"/>
          <w:i/>
          <w:iCs/>
          <w:color w:val="000000" w:themeColor="text1"/>
          <w:shd w:val="clear" w:color="auto" w:fill="FFFFFF"/>
        </w:rPr>
        <w:t xml:space="preserve"> </w:t>
      </w:r>
      <w:r w:rsidRPr="00DA5E11">
        <w:rPr>
          <w:rFonts w:ascii="Times New Roman" w:eastAsia="Times New Roman" w:hAnsi="Times New Roman" w:cs="Times New Roman"/>
          <w:color w:val="000000" w:themeColor="text1"/>
          <w:sz w:val="20"/>
          <w:szCs w:val="20"/>
          <w:shd w:val="clear" w:color="auto" w:fill="FFFFFF"/>
        </w:rPr>
        <w:t xml:space="preserve">Department of Geography, David Turpin Building, </w:t>
      </w:r>
      <w:r w:rsidRPr="00511CF9">
        <w:rPr>
          <w:rFonts w:ascii="Times New Roman" w:eastAsia="Times New Roman" w:hAnsi="Times New Roman" w:cs="Times New Roman"/>
          <w:color w:val="000000" w:themeColor="text1"/>
          <w:sz w:val="20"/>
          <w:szCs w:val="20"/>
          <w:shd w:val="clear" w:color="auto" w:fill="FFFFFF"/>
        </w:rPr>
        <w:t>University of Victoria,</w:t>
      </w:r>
      <w:r w:rsidRPr="00DA5E11">
        <w:rPr>
          <w:rFonts w:ascii="Times New Roman" w:eastAsia="Times New Roman" w:hAnsi="Times New Roman" w:cs="Times New Roman"/>
          <w:color w:val="000000" w:themeColor="text1"/>
          <w:sz w:val="20"/>
          <w:szCs w:val="20"/>
          <w:shd w:val="clear" w:color="auto" w:fill="FFFFFF"/>
        </w:rPr>
        <w:t xml:space="preserve"> Victoria, V</w:t>
      </w:r>
      <w:r>
        <w:rPr>
          <w:rFonts w:ascii="Times New Roman" w:eastAsia="Times New Roman" w:hAnsi="Times New Roman" w:cs="Times New Roman"/>
          <w:color w:val="000000" w:themeColor="text1"/>
          <w:sz w:val="20"/>
          <w:szCs w:val="20"/>
          <w:shd w:val="clear" w:color="auto" w:fill="FFFFFF"/>
        </w:rPr>
        <w:t>8P 5C2</w:t>
      </w:r>
      <w:r w:rsidRPr="00DA5E11">
        <w:rPr>
          <w:rFonts w:ascii="Times New Roman" w:eastAsia="Times New Roman" w:hAnsi="Times New Roman" w:cs="Times New Roman"/>
          <w:color w:val="000000" w:themeColor="text1"/>
          <w:sz w:val="20"/>
          <w:szCs w:val="20"/>
          <w:shd w:val="clear" w:color="auto" w:fill="FFFFFF"/>
        </w:rPr>
        <w:t xml:space="preserve">, </w:t>
      </w:r>
      <w:r w:rsidRPr="00511CF9">
        <w:rPr>
          <w:rFonts w:ascii="Times New Roman" w:eastAsia="Times New Roman" w:hAnsi="Times New Roman" w:cs="Times New Roman"/>
          <w:color w:val="000000" w:themeColor="text1"/>
          <w:sz w:val="20"/>
          <w:szCs w:val="20"/>
          <w:shd w:val="clear" w:color="auto" w:fill="FFFFFF"/>
        </w:rPr>
        <w:t>B</w:t>
      </w:r>
      <w:r>
        <w:rPr>
          <w:rFonts w:ascii="Times New Roman" w:eastAsia="Times New Roman" w:hAnsi="Times New Roman" w:cs="Times New Roman"/>
          <w:color w:val="000000" w:themeColor="text1"/>
          <w:sz w:val="20"/>
          <w:szCs w:val="20"/>
          <w:shd w:val="clear" w:color="auto" w:fill="FFFFFF"/>
        </w:rPr>
        <w:t>ritish Columbia,</w:t>
      </w:r>
      <w:r w:rsidRPr="00511CF9">
        <w:rPr>
          <w:rFonts w:ascii="Times New Roman" w:eastAsia="Times New Roman" w:hAnsi="Times New Roman" w:cs="Times New Roman"/>
          <w:color w:val="000000" w:themeColor="text1"/>
          <w:sz w:val="20"/>
          <w:szCs w:val="20"/>
          <w:shd w:val="clear" w:color="auto" w:fill="FFFFFF"/>
        </w:rPr>
        <w:t xml:space="preserve"> </w:t>
      </w:r>
      <w:r w:rsidRPr="00DA5E11">
        <w:rPr>
          <w:rFonts w:ascii="Times New Roman" w:eastAsia="Times New Roman" w:hAnsi="Times New Roman" w:cs="Times New Roman"/>
          <w:color w:val="000000" w:themeColor="text1"/>
          <w:sz w:val="20"/>
          <w:szCs w:val="20"/>
          <w:shd w:val="clear" w:color="auto" w:fill="FFFFFF"/>
        </w:rPr>
        <w:t>Canada</w:t>
      </w:r>
    </w:p>
    <w:p w14:paraId="4D5B5270" w14:textId="77777777" w:rsidR="001C5477" w:rsidRPr="00207AB0" w:rsidRDefault="001C5477" w:rsidP="001C5477">
      <w:pPr>
        <w:rPr>
          <w:rFonts w:ascii="Times New Roman" w:hAnsi="Times New Roman" w:cs="Times New Roman"/>
          <w:sz w:val="20"/>
          <w:szCs w:val="20"/>
        </w:rPr>
      </w:pPr>
      <w:r w:rsidRPr="00207AB0">
        <w:rPr>
          <w:rFonts w:ascii="Times New Roman" w:hAnsi="Times New Roman" w:cs="Times New Roman"/>
          <w:sz w:val="20"/>
          <w:szCs w:val="20"/>
        </w:rPr>
        <w:t>*Corresponding author</w:t>
      </w:r>
      <w:r>
        <w:rPr>
          <w:rFonts w:ascii="Times New Roman" w:hAnsi="Times New Roman" w:cs="Times New Roman"/>
          <w:sz w:val="20"/>
          <w:szCs w:val="20"/>
        </w:rPr>
        <w:t>s</w:t>
      </w:r>
    </w:p>
    <w:p w14:paraId="53281F3A" w14:textId="77777777" w:rsidR="001C5477" w:rsidRDefault="001C5477"/>
    <w:p w14:paraId="2F60AFA1" w14:textId="77777777" w:rsidR="001C5477" w:rsidRDefault="001C5477">
      <w:r>
        <w:br w:type="page"/>
      </w:r>
    </w:p>
    <w:p w14:paraId="16B9ACF4" w14:textId="5C5248C6" w:rsidR="00E34A10" w:rsidRDefault="00940107" w:rsidP="00E34A10">
      <w:r>
        <w:rPr>
          <w:noProof/>
        </w:rPr>
        <w:lastRenderedPageBreak/>
        <w:drawing>
          <wp:inline distT="0" distB="0" distL="0" distR="0" wp14:anchorId="0E5E5904" wp14:editId="54899FC1">
            <wp:extent cx="5722620" cy="4732020"/>
            <wp:effectExtent l="0" t="0" r="0" b="0"/>
            <wp:docPr id="4" name="Picture 4"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Map&#10;&#10;Description automatically generated"/>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b="41525"/>
                    <a:stretch/>
                  </pic:blipFill>
                  <pic:spPr bwMode="auto">
                    <a:xfrm>
                      <a:off x="0" y="0"/>
                      <a:ext cx="5722620" cy="4732020"/>
                    </a:xfrm>
                    <a:prstGeom prst="rect">
                      <a:avLst/>
                    </a:prstGeom>
                    <a:noFill/>
                    <a:ln>
                      <a:noFill/>
                    </a:ln>
                    <a:extLst>
                      <a:ext uri="{53640926-AAD7-44D8-BBD7-CCE9431645EC}">
                        <a14:shadowObscured xmlns:a14="http://schemas.microsoft.com/office/drawing/2010/main"/>
                      </a:ext>
                    </a:extLst>
                  </pic:spPr>
                </pic:pic>
              </a:graphicData>
            </a:graphic>
          </wp:inline>
        </w:drawing>
      </w:r>
      <w:r w:rsidR="00E34A10" w:rsidRPr="00E34A10">
        <w:t xml:space="preserve"> </w:t>
      </w:r>
      <w:r w:rsidR="00E34A10">
        <w:t xml:space="preserve">Figure S1. A comparison of the elevation change over time for each site according to the three main models of GIA for North America. The ‘Norman Range and Mackenzie Valley’ sites, and the ‘Cap Mountain, Cap Mountain lower, and the Smith Ridge’ sites were grouped together as they were all located on a single pixel within the GIA models and so display the same GIA history. All figures were plotted within Octave v.6.4.0 using the Expage-201912 calculator. ICE6G - </w:t>
      </w:r>
      <w:r w:rsidR="00E34A10" w:rsidRPr="0085055E">
        <w:t xml:space="preserve">Peltier et al., 2015; </w:t>
      </w:r>
      <w:r w:rsidR="00E34A10">
        <w:t xml:space="preserve">ANU2017 - </w:t>
      </w:r>
      <w:r w:rsidR="00E34A10" w:rsidRPr="0085055E">
        <w:t>Lambeck et al., 2017;</w:t>
      </w:r>
      <w:r w:rsidR="00E34A10">
        <w:t xml:space="preserve"> Gowan2021 -</w:t>
      </w:r>
      <w:r w:rsidR="00E34A10" w:rsidRPr="0085055E">
        <w:t xml:space="preserve"> Gowan et al., 2021.</w:t>
      </w:r>
    </w:p>
    <w:p w14:paraId="6C2CC5E2" w14:textId="77777777" w:rsidR="00E34A10" w:rsidRDefault="00E34A10" w:rsidP="00E34A10">
      <w:r>
        <w:t>References:</w:t>
      </w:r>
    </w:p>
    <w:p w14:paraId="0CB0669E" w14:textId="77777777" w:rsidR="00E34A10" w:rsidRDefault="00E34A10" w:rsidP="00E34A10">
      <w:r w:rsidRPr="00C67DEE">
        <w:t>Gowan, E.J., Zhang, X., Khosravi, S., Rovere, A., Stocchi, P., Hughes, A.L., Gyllencreutz, R., Mangerud, J., Svendsen, J.I. and Lohmann, G., 2021. A new global ice sheet reconstruction for the past 80 000 years. </w:t>
      </w:r>
      <w:r w:rsidRPr="00C67DEE">
        <w:rPr>
          <w:i/>
          <w:iCs/>
        </w:rPr>
        <w:t>Nature communications</w:t>
      </w:r>
      <w:r w:rsidRPr="00C67DEE">
        <w:t>, </w:t>
      </w:r>
      <w:r w:rsidRPr="00C67DEE">
        <w:rPr>
          <w:i/>
          <w:iCs/>
        </w:rPr>
        <w:t>12</w:t>
      </w:r>
      <w:r w:rsidRPr="00C67DEE">
        <w:t>(1), pp.1-9</w:t>
      </w:r>
    </w:p>
    <w:p w14:paraId="665D6415" w14:textId="77777777" w:rsidR="00E34A10" w:rsidRDefault="00E34A10" w:rsidP="00E34A10">
      <w:r w:rsidRPr="00C67DEE">
        <w:t>Lambeck, K., Purcell, A. and Zhao, S., 2017. The North American Late Wisconsin ice sheet and mantle viscosity from glacial rebound analyses. </w:t>
      </w:r>
      <w:r w:rsidRPr="00C67DEE">
        <w:rPr>
          <w:i/>
          <w:iCs/>
        </w:rPr>
        <w:t>Quaternary Science Reviews</w:t>
      </w:r>
      <w:r w:rsidRPr="00C67DEE">
        <w:t>, </w:t>
      </w:r>
      <w:r w:rsidRPr="00C67DEE">
        <w:rPr>
          <w:i/>
          <w:iCs/>
        </w:rPr>
        <w:t>158</w:t>
      </w:r>
      <w:r w:rsidRPr="00C67DEE">
        <w:t>, pp.172-210</w:t>
      </w:r>
    </w:p>
    <w:p w14:paraId="27D56BAC" w14:textId="77777777" w:rsidR="00E34A10" w:rsidRDefault="00E34A10" w:rsidP="00E34A10">
      <w:r w:rsidRPr="00572A0C">
        <w:t>Peltier, W.R., Argus, D.F. and Drummond, R., 2015. Space geodesy constrains ice age terminal deglaciation: The global ICE‐6G_C (VM5a) model. </w:t>
      </w:r>
      <w:r w:rsidRPr="00572A0C">
        <w:rPr>
          <w:i/>
          <w:iCs/>
        </w:rPr>
        <w:t>Journal of Geophysical Research: Solid Earth</w:t>
      </w:r>
      <w:r w:rsidRPr="00572A0C">
        <w:t>, </w:t>
      </w:r>
      <w:r w:rsidRPr="00572A0C">
        <w:rPr>
          <w:i/>
          <w:iCs/>
        </w:rPr>
        <w:t>120</w:t>
      </w:r>
      <w:r w:rsidRPr="00572A0C">
        <w:t>(1), pp.450-487</w:t>
      </w:r>
    </w:p>
    <w:p w14:paraId="521BF602" w14:textId="41906A7E" w:rsidR="00940107" w:rsidRDefault="00940107" w:rsidP="00940107"/>
    <w:p w14:paraId="141EE96F" w14:textId="15B992F4" w:rsidR="00C65971" w:rsidRDefault="00C65971" w:rsidP="00C65971"/>
    <w:p w14:paraId="187F8412" w14:textId="5BBECE70" w:rsidR="00FD5837" w:rsidRDefault="00FD5837"/>
    <w:p w14:paraId="4ED05A66" w14:textId="7ED7A031" w:rsidR="00E34A10" w:rsidRDefault="00E34A10" w:rsidP="00E34A10">
      <w:r>
        <w:rPr>
          <w:noProof/>
        </w:rPr>
        <w:lastRenderedPageBreak/>
        <w:drawing>
          <wp:inline distT="0" distB="0" distL="0" distR="0" wp14:anchorId="49121A2D" wp14:editId="56831BF2">
            <wp:extent cx="5727700" cy="7929905"/>
            <wp:effectExtent l="0" t="0" r="6350" b="0"/>
            <wp:docPr id="11" name="Picture 11" descr="Calend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Calendar&#10;&#10;Description automatically generated"/>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t="2078"/>
                    <a:stretch/>
                  </pic:blipFill>
                  <pic:spPr bwMode="auto">
                    <a:xfrm>
                      <a:off x="0" y="0"/>
                      <a:ext cx="5727700" cy="7929905"/>
                    </a:xfrm>
                    <a:prstGeom prst="rect">
                      <a:avLst/>
                    </a:prstGeom>
                    <a:noFill/>
                    <a:ln>
                      <a:noFill/>
                    </a:ln>
                    <a:extLst>
                      <a:ext uri="{53640926-AAD7-44D8-BBD7-CCE9431645EC}">
                        <a14:shadowObscured xmlns:a14="http://schemas.microsoft.com/office/drawing/2010/main"/>
                      </a:ext>
                    </a:extLst>
                  </pic:spPr>
                </pic:pic>
              </a:graphicData>
            </a:graphic>
          </wp:inline>
        </w:drawing>
      </w:r>
      <w:r w:rsidRPr="00E34A10">
        <w:t xml:space="preserve"> </w:t>
      </w:r>
      <w:r>
        <w:t xml:space="preserve">Figure S2. Photographs of the sampled boulders. (A) NWT-MM-01 in red dashed circle with a person pointing  to it, perched on the sandstone bedrock. (B) Close-up of NWT-MM-01 (the longer axis of the notebook is 184  mm). (C) Samples NWT-MM-02 (in the front, notebook for scale) and -03 (in the background, chisel for scale, ~30cm). (D) Close-up of NWT-MM-02. (E) Close-up of NWT-MM-03. (F) Sample NWT-MM-04. (G) Sample  NWT-MM-05 with a chisel on top of it. (H) Sample NWT-MM-06; </w:t>
      </w:r>
      <w:r>
        <w:lastRenderedPageBreak/>
        <w:t>chisel for scale. (I) Sample NWT-MM-07  (large pinkish boulder in the centre). (J) Sample NWT-MM-08. (K) Sample NWT-MM-09 resting on the  limestone bedrock. (L) Sample NWT-MM-10 on the limestone bedrock. (M) Samples NWT-MM-11 (in the  front) and -12 (in the background). (N) Sample NWT-MM-12. (O) Sample NWT-MM-13. (P) Sample NWT MM-14. (Q) Sample NWT-18-07. (R) Sample NWT-18-09. (S) Sample NWT-18-10. (T) Sample NWT-18-11. (U) Sample NWT-18-12. (V) Sample NWT-18-15. (T) Sample NWT-18-16. (X) Sample NWT-18-17. (Y) Sample NWT-18-18. (Z) Sample NWT-18-19. (AA) Sample NWT-18-20.</w:t>
      </w:r>
      <w:r w:rsidRPr="00F4693D">
        <w:t xml:space="preserve"> </w:t>
      </w:r>
      <w:r>
        <w:t>(AB) Sample NWT-18-21.</w:t>
      </w:r>
      <w:r w:rsidRPr="00F4693D">
        <w:t xml:space="preserve"> </w:t>
      </w:r>
      <w:r>
        <w:t>(AC) Sample NWT-18-22.</w:t>
      </w:r>
    </w:p>
    <w:p w14:paraId="7EF7A625" w14:textId="2A28EB4D" w:rsidR="00821D7B" w:rsidRDefault="00821D7B" w:rsidP="00821D7B"/>
    <w:p w14:paraId="334787AF" w14:textId="464048E8" w:rsidR="001214A8" w:rsidRDefault="00D85B84" w:rsidP="001214A8">
      <w:r>
        <w:rPr>
          <w:noProof/>
          <w:lang w:eastAsia="en-GB"/>
        </w:rPr>
        <w:drawing>
          <wp:inline distT="0" distB="0" distL="0" distR="0" wp14:anchorId="2B39CB38" wp14:editId="1292E96B">
            <wp:extent cx="5731510" cy="429831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rthern sites 5.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1510" cy="4298315"/>
                    </a:xfrm>
                    <a:prstGeom prst="rect">
                      <a:avLst/>
                    </a:prstGeom>
                  </pic:spPr>
                </pic:pic>
              </a:graphicData>
            </a:graphic>
          </wp:inline>
        </w:drawing>
      </w:r>
    </w:p>
    <w:p w14:paraId="41121747" w14:textId="32C512A4" w:rsidR="001214A8" w:rsidRPr="009306E8" w:rsidRDefault="001214A8" w:rsidP="001214A8">
      <w:pPr>
        <w:rPr>
          <w:rFonts w:ascii="Times New Roman" w:hAnsi="Times New Roman" w:cs="Times New Roman"/>
        </w:rPr>
      </w:pPr>
      <w:r w:rsidRPr="009306E8">
        <w:rPr>
          <w:rFonts w:ascii="Times New Roman" w:hAnsi="Times New Roman" w:cs="Times New Roman"/>
        </w:rPr>
        <w:t>Figure S</w:t>
      </w:r>
      <w:r>
        <w:rPr>
          <w:rFonts w:ascii="Times New Roman" w:hAnsi="Times New Roman" w:cs="Times New Roman"/>
        </w:rPr>
        <w:t xml:space="preserve">3. </w:t>
      </w:r>
      <w:r w:rsidRPr="009306E8">
        <w:rPr>
          <w:rFonts w:ascii="Times New Roman" w:hAnsi="Times New Roman" w:cs="Times New Roman"/>
        </w:rPr>
        <w:t>Outputs from Oxcal sequence models</w:t>
      </w:r>
      <w:r>
        <w:rPr>
          <w:rFonts w:ascii="Times New Roman" w:hAnsi="Times New Roman" w:cs="Times New Roman"/>
        </w:rPr>
        <w:t xml:space="preserve"> from northern study sites (</w:t>
      </w:r>
      <w:r w:rsidRPr="00E839D4">
        <w:rPr>
          <w:rFonts w:ascii="Times New Roman" w:hAnsi="Times New Roman" w:cs="Times New Roman"/>
        </w:rPr>
        <w:t>Katherine Creek, Norman Range and the Mackenzie Valley</w:t>
      </w:r>
      <w:r>
        <w:rPr>
          <w:rFonts w:ascii="Times New Roman" w:hAnsi="Times New Roman" w:cs="Times New Roman"/>
        </w:rPr>
        <w:t>)</w:t>
      </w:r>
      <w:r w:rsidRPr="009306E8">
        <w:rPr>
          <w:rFonts w:ascii="Times New Roman" w:hAnsi="Times New Roman" w:cs="Times New Roman"/>
        </w:rPr>
        <w:t xml:space="preserve"> (Bronk Ramsey, 2017). Model 1 was run with no outlier model. Model 2 was run using a General outlier model. Model 3 was run using a General outlier</w:t>
      </w:r>
      <w:r w:rsidR="00E34A10">
        <w:rPr>
          <w:rFonts w:ascii="Times New Roman" w:hAnsi="Times New Roman" w:cs="Times New Roman"/>
        </w:rPr>
        <w:t xml:space="preserve"> model</w:t>
      </w:r>
      <w:r w:rsidRPr="009306E8">
        <w:rPr>
          <w:rFonts w:ascii="Times New Roman" w:hAnsi="Times New Roman" w:cs="Times New Roman"/>
        </w:rPr>
        <w:t xml:space="preserve">, excluding </w:t>
      </w:r>
      <w:r>
        <w:rPr>
          <w:rFonts w:ascii="Times New Roman" w:hAnsi="Times New Roman" w:cs="Times New Roman"/>
        </w:rPr>
        <w:t xml:space="preserve">TCN </w:t>
      </w:r>
      <w:r w:rsidRPr="009306E8">
        <w:rPr>
          <w:rFonts w:ascii="Times New Roman" w:hAnsi="Times New Roman" w:cs="Times New Roman"/>
        </w:rPr>
        <w:t>dates with &lt;60% agreement indices in model 1. Modelled dates are reported at 2 σ uncertainty.</w:t>
      </w:r>
      <w:r w:rsidRPr="001214A8">
        <w:rPr>
          <w:rFonts w:ascii="Times New Roman" w:hAnsi="Times New Roman" w:cs="Times New Roman"/>
          <w:noProof/>
          <w:lang w:eastAsia="en-GB"/>
        </w:rPr>
        <w:t xml:space="preserve"> </w:t>
      </w:r>
      <w:r w:rsidR="00FE28F9">
        <w:rPr>
          <w:rFonts w:ascii="Times New Roman" w:hAnsi="Times New Roman" w:cs="Times New Roman"/>
          <w:noProof/>
          <w:lang w:eastAsia="en-GB"/>
        </w:rPr>
        <w:t>Exposure ages were calculated using the ‘primary’ production rate dataset (Borchers et al., 2015).</w:t>
      </w:r>
    </w:p>
    <w:p w14:paraId="0F9DEE41" w14:textId="703A72AB" w:rsidR="0084489E" w:rsidRDefault="0084489E" w:rsidP="001214A8">
      <w:pPr>
        <w:keepNext/>
        <w:rPr>
          <w:rFonts w:ascii="Times New Roman" w:hAnsi="Times New Roman" w:cs="Times New Roman"/>
        </w:rPr>
      </w:pPr>
      <w:r>
        <w:rPr>
          <w:rFonts w:ascii="Times New Roman" w:hAnsi="Times New Roman" w:cs="Times New Roman"/>
          <w:noProof/>
          <w:lang w:eastAsia="en-GB"/>
        </w:rPr>
        <w:lastRenderedPageBreak/>
        <w:drawing>
          <wp:anchor distT="0" distB="0" distL="114300" distR="114300" simplePos="0" relativeHeight="251659264" behindDoc="0" locked="0" layoutInCell="1" allowOverlap="1" wp14:anchorId="0B4AC671" wp14:editId="6CECC78F">
            <wp:simplePos x="0" y="0"/>
            <wp:positionH relativeFrom="column">
              <wp:posOffset>0</wp:posOffset>
            </wp:positionH>
            <wp:positionV relativeFrom="paragraph">
              <wp:posOffset>-1270</wp:posOffset>
            </wp:positionV>
            <wp:extent cx="5731510" cy="4102735"/>
            <wp:effectExtent l="0" t="0" r="0" b="0"/>
            <wp:wrapTopAndBottom/>
            <wp:docPr id="7" name="Picture 7" descr="Graphical user interfac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10;&#10;Description automatically generated with medium confidenc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31510" cy="4102735"/>
                    </a:xfrm>
                    <a:prstGeom prst="rect">
                      <a:avLst/>
                    </a:prstGeom>
                  </pic:spPr>
                </pic:pic>
              </a:graphicData>
            </a:graphic>
          </wp:anchor>
        </w:drawing>
      </w:r>
    </w:p>
    <w:p w14:paraId="3BC20949" w14:textId="12FDFCAA" w:rsidR="0084489E" w:rsidRDefault="0084489E" w:rsidP="0084489E">
      <w:pPr>
        <w:keepNext/>
        <w:rPr>
          <w:rFonts w:ascii="Times New Roman" w:hAnsi="Times New Roman" w:cs="Times New Roman"/>
        </w:rPr>
      </w:pPr>
      <w:r w:rsidRPr="009306E8">
        <w:rPr>
          <w:rFonts w:ascii="Times New Roman" w:hAnsi="Times New Roman" w:cs="Times New Roman"/>
        </w:rPr>
        <w:t>Figure S</w:t>
      </w:r>
      <w:r>
        <w:rPr>
          <w:rFonts w:ascii="Times New Roman" w:hAnsi="Times New Roman" w:cs="Times New Roman"/>
        </w:rPr>
        <w:t>4</w:t>
      </w:r>
      <w:r w:rsidRPr="009306E8">
        <w:rPr>
          <w:rFonts w:ascii="Times New Roman" w:hAnsi="Times New Roman" w:cs="Times New Roman"/>
        </w:rPr>
        <w:t>.</w:t>
      </w:r>
      <w:r>
        <w:rPr>
          <w:rFonts w:ascii="Times New Roman" w:hAnsi="Times New Roman" w:cs="Times New Roman"/>
        </w:rPr>
        <w:t xml:space="preserve"> </w:t>
      </w:r>
      <w:r w:rsidRPr="009306E8">
        <w:rPr>
          <w:rFonts w:ascii="Times New Roman" w:hAnsi="Times New Roman" w:cs="Times New Roman"/>
        </w:rPr>
        <w:t xml:space="preserve">Outputs from Oxcal sequence models from </w:t>
      </w:r>
      <w:r>
        <w:rPr>
          <w:rFonts w:ascii="Times New Roman" w:hAnsi="Times New Roman" w:cs="Times New Roman"/>
        </w:rPr>
        <w:t>southern</w:t>
      </w:r>
      <w:r w:rsidRPr="009306E8">
        <w:rPr>
          <w:rFonts w:ascii="Times New Roman" w:hAnsi="Times New Roman" w:cs="Times New Roman"/>
        </w:rPr>
        <w:t xml:space="preserve"> study sites </w:t>
      </w:r>
      <w:r>
        <w:rPr>
          <w:rFonts w:ascii="Times New Roman" w:hAnsi="Times New Roman" w:cs="Times New Roman"/>
        </w:rPr>
        <w:t>(</w:t>
      </w:r>
      <w:r w:rsidRPr="00E839D4">
        <w:rPr>
          <w:rFonts w:ascii="Times New Roman" w:hAnsi="Times New Roman" w:cs="Times New Roman"/>
        </w:rPr>
        <w:t>Cap Mountain summit and Lower Franklin Mountains</w:t>
      </w:r>
      <w:r>
        <w:rPr>
          <w:rFonts w:ascii="Times New Roman" w:hAnsi="Times New Roman" w:cs="Times New Roman"/>
        </w:rPr>
        <w:t>)</w:t>
      </w:r>
      <w:r w:rsidRPr="009306E8">
        <w:rPr>
          <w:rFonts w:ascii="Times New Roman" w:hAnsi="Times New Roman" w:cs="Times New Roman"/>
        </w:rPr>
        <w:t xml:space="preserve"> (Bronk Ramsey, 2017). Model 1 was run with no outlier model. Model 2 was run using a General outlier model. Model 3 was run using a General outlier</w:t>
      </w:r>
      <w:r w:rsidR="00E34A10">
        <w:rPr>
          <w:rFonts w:ascii="Times New Roman" w:hAnsi="Times New Roman" w:cs="Times New Roman"/>
        </w:rPr>
        <w:t xml:space="preserve"> model</w:t>
      </w:r>
      <w:r w:rsidRPr="009306E8">
        <w:rPr>
          <w:rFonts w:ascii="Times New Roman" w:hAnsi="Times New Roman" w:cs="Times New Roman"/>
        </w:rPr>
        <w:t xml:space="preserve">, excluding TCN dates with &lt;60% agreement indices in model 1. Modelled dates are reported at 2 σ </w:t>
      </w:r>
      <w:r w:rsidRPr="009306E8">
        <w:rPr>
          <w:rFonts w:ascii="Times New Roman" w:hAnsi="Times New Roman" w:cs="Times New Roman"/>
        </w:rPr>
        <w:lastRenderedPageBreak/>
        <w:t>uncertainty.</w:t>
      </w:r>
      <w:r w:rsidR="00FE28F9">
        <w:rPr>
          <w:rFonts w:ascii="Times New Roman" w:hAnsi="Times New Roman" w:cs="Times New Roman"/>
        </w:rPr>
        <w:t xml:space="preserve"> </w:t>
      </w:r>
      <w:r w:rsidR="00FE28F9">
        <w:rPr>
          <w:rFonts w:ascii="Times New Roman" w:hAnsi="Times New Roman" w:cs="Times New Roman"/>
          <w:noProof/>
          <w:lang w:eastAsia="en-GB"/>
        </w:rPr>
        <w:t>Exposure ages were calculated using the ‘primary’ production rate dataset (Borchers et al., 2015).</w:t>
      </w:r>
    </w:p>
    <w:p w14:paraId="716E9AAE" w14:textId="4B856596" w:rsidR="0084489E" w:rsidRDefault="0084489E" w:rsidP="001214A8">
      <w:pPr>
        <w:keepNext/>
        <w:rPr>
          <w:rFonts w:ascii="Times New Roman" w:hAnsi="Times New Roman" w:cs="Times New Roman"/>
        </w:rPr>
      </w:pPr>
    </w:p>
    <w:p w14:paraId="5E3FD827" w14:textId="468FBC6A" w:rsidR="0084489E" w:rsidRDefault="0084489E" w:rsidP="001214A8">
      <w:pPr>
        <w:keepNext/>
        <w:rPr>
          <w:rFonts w:ascii="Times New Roman" w:hAnsi="Times New Roman" w:cs="Times New Roman"/>
        </w:rPr>
      </w:pPr>
    </w:p>
    <w:p w14:paraId="1485D001" w14:textId="5541901E" w:rsidR="0084489E" w:rsidRDefault="0084489E" w:rsidP="001214A8">
      <w:pPr>
        <w:keepNext/>
        <w:rPr>
          <w:rFonts w:ascii="Times New Roman" w:hAnsi="Times New Roman" w:cs="Times New Roman"/>
        </w:rPr>
      </w:pPr>
    </w:p>
    <w:p w14:paraId="6D3B5F75" w14:textId="23B8E860" w:rsidR="0084489E" w:rsidRDefault="0084489E" w:rsidP="001214A8">
      <w:pPr>
        <w:keepNext/>
        <w:rPr>
          <w:rFonts w:ascii="Times New Roman" w:hAnsi="Times New Roman" w:cs="Times New Roman"/>
        </w:rPr>
      </w:pPr>
    </w:p>
    <w:p w14:paraId="764FBA96" w14:textId="76AE5B30" w:rsidR="0084489E" w:rsidRDefault="0084489E" w:rsidP="001214A8">
      <w:pPr>
        <w:keepNext/>
        <w:rPr>
          <w:rFonts w:ascii="Times New Roman" w:hAnsi="Times New Roman" w:cs="Times New Roman"/>
        </w:rPr>
      </w:pPr>
    </w:p>
    <w:p w14:paraId="3F79D836" w14:textId="3423D653" w:rsidR="0084489E" w:rsidRDefault="0084489E" w:rsidP="001214A8">
      <w:pPr>
        <w:keepNext/>
        <w:rPr>
          <w:rFonts w:ascii="Times New Roman" w:hAnsi="Times New Roman" w:cs="Times New Roman"/>
        </w:rPr>
      </w:pPr>
    </w:p>
    <w:p w14:paraId="7F830C1B" w14:textId="760EF3F4" w:rsidR="0084489E" w:rsidRDefault="0084489E" w:rsidP="001214A8">
      <w:pPr>
        <w:keepNext/>
        <w:rPr>
          <w:rFonts w:ascii="Times New Roman" w:hAnsi="Times New Roman" w:cs="Times New Roman"/>
        </w:rPr>
      </w:pPr>
    </w:p>
    <w:p w14:paraId="483A5EAF" w14:textId="163A8030" w:rsidR="0084489E" w:rsidRDefault="0084489E" w:rsidP="001214A8">
      <w:pPr>
        <w:keepNext/>
        <w:rPr>
          <w:rFonts w:ascii="Times New Roman" w:hAnsi="Times New Roman" w:cs="Times New Roman"/>
        </w:rPr>
      </w:pPr>
    </w:p>
    <w:p w14:paraId="3451C992" w14:textId="6A7C8DC2" w:rsidR="0084489E" w:rsidRDefault="0084489E" w:rsidP="001214A8">
      <w:pPr>
        <w:keepNext/>
        <w:rPr>
          <w:rFonts w:ascii="Times New Roman" w:hAnsi="Times New Roman" w:cs="Times New Roman"/>
        </w:rPr>
      </w:pPr>
    </w:p>
    <w:p w14:paraId="2331A0B3" w14:textId="3F0D186D" w:rsidR="001214A8" w:rsidRDefault="001214A8" w:rsidP="001214A8">
      <w:pPr>
        <w:keepNext/>
        <w:rPr>
          <w:rFonts w:ascii="Times New Roman" w:hAnsi="Times New Roman" w:cs="Times New Roman"/>
        </w:rPr>
      </w:pPr>
    </w:p>
    <w:p w14:paraId="746EE33D" w14:textId="5D108C9A" w:rsidR="004523D7" w:rsidRDefault="004523D7" w:rsidP="001214A8">
      <w:pPr>
        <w:keepNext/>
        <w:rPr>
          <w:rFonts w:ascii="Times New Roman" w:hAnsi="Times New Roman" w:cs="Times New Roman"/>
        </w:rPr>
      </w:pPr>
    </w:p>
    <w:p w14:paraId="5EEECA15" w14:textId="09CB752D" w:rsidR="004523D7" w:rsidRDefault="004523D7" w:rsidP="001214A8">
      <w:pPr>
        <w:keepNext/>
        <w:rPr>
          <w:rFonts w:ascii="Times New Roman" w:hAnsi="Times New Roman" w:cs="Times New Roman"/>
        </w:rPr>
      </w:pPr>
    </w:p>
    <w:p w14:paraId="5D5B0840" w14:textId="08587557" w:rsidR="004523D7" w:rsidRDefault="004523D7" w:rsidP="001214A8">
      <w:pPr>
        <w:keepNext/>
        <w:rPr>
          <w:rFonts w:ascii="Times New Roman" w:hAnsi="Times New Roman" w:cs="Times New Roman"/>
        </w:rPr>
      </w:pPr>
    </w:p>
    <w:p w14:paraId="51B0ED4F" w14:textId="0B8CD90D" w:rsidR="009C3DD1" w:rsidRDefault="009C3DD1" w:rsidP="004523D7">
      <w:pPr>
        <w:rPr>
          <w:rFonts w:ascii="Times New Roman" w:hAnsi="Times New Roman" w:cs="Times New Roman"/>
        </w:rPr>
      </w:pPr>
      <w:r>
        <w:rPr>
          <w:noProof/>
          <w:lang w:eastAsia="en-GB"/>
        </w:rPr>
        <w:drawing>
          <wp:inline distT="0" distB="0" distL="0" distR="0" wp14:anchorId="356F8A09" wp14:editId="62CC36C5">
            <wp:extent cx="5731510" cy="476567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dels 13.14.15.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31510" cy="4765675"/>
                    </a:xfrm>
                    <a:prstGeom prst="rect">
                      <a:avLst/>
                    </a:prstGeom>
                  </pic:spPr>
                </pic:pic>
              </a:graphicData>
            </a:graphic>
          </wp:inline>
        </w:drawing>
      </w:r>
    </w:p>
    <w:p w14:paraId="6DD36BB6" w14:textId="74DFAADC" w:rsidR="004523D7" w:rsidRDefault="004523D7" w:rsidP="004523D7">
      <w:pPr>
        <w:rPr>
          <w:rFonts w:ascii="Times New Roman" w:hAnsi="Times New Roman" w:cs="Times New Roman"/>
          <w:noProof/>
          <w:lang w:eastAsia="en-GB"/>
        </w:rPr>
      </w:pPr>
      <w:r w:rsidRPr="009306E8">
        <w:rPr>
          <w:rFonts w:ascii="Times New Roman" w:hAnsi="Times New Roman" w:cs="Times New Roman"/>
        </w:rPr>
        <w:lastRenderedPageBreak/>
        <w:t>Figure S</w:t>
      </w:r>
      <w:r>
        <w:rPr>
          <w:rFonts w:ascii="Times New Roman" w:hAnsi="Times New Roman" w:cs="Times New Roman"/>
        </w:rPr>
        <w:t xml:space="preserve">5. </w:t>
      </w:r>
      <w:r w:rsidRPr="009306E8">
        <w:rPr>
          <w:rFonts w:ascii="Times New Roman" w:hAnsi="Times New Roman" w:cs="Times New Roman"/>
        </w:rPr>
        <w:t>Outputs from Oxcal sequence models</w:t>
      </w:r>
      <w:r>
        <w:rPr>
          <w:rFonts w:ascii="Times New Roman" w:hAnsi="Times New Roman" w:cs="Times New Roman"/>
        </w:rPr>
        <w:t xml:space="preserve"> </w:t>
      </w:r>
      <w:r w:rsidR="009C3DD1">
        <w:rPr>
          <w:rFonts w:ascii="Times New Roman" w:hAnsi="Times New Roman" w:cs="Times New Roman"/>
        </w:rPr>
        <w:t xml:space="preserve">13, 14 and 15, </w:t>
      </w:r>
      <w:r>
        <w:rPr>
          <w:rFonts w:ascii="Times New Roman" w:hAnsi="Times New Roman" w:cs="Times New Roman"/>
        </w:rPr>
        <w:t>from northern study sites (</w:t>
      </w:r>
      <w:r w:rsidRPr="00E839D4">
        <w:rPr>
          <w:rFonts w:ascii="Times New Roman" w:hAnsi="Times New Roman" w:cs="Times New Roman"/>
        </w:rPr>
        <w:t>Katherine Creek, Norman Range and the Mackenzie Valley</w:t>
      </w:r>
      <w:r>
        <w:rPr>
          <w:rFonts w:ascii="Times New Roman" w:hAnsi="Times New Roman" w:cs="Times New Roman"/>
        </w:rPr>
        <w:t>)</w:t>
      </w:r>
      <w:r w:rsidRPr="009306E8">
        <w:rPr>
          <w:rFonts w:ascii="Times New Roman" w:hAnsi="Times New Roman" w:cs="Times New Roman"/>
        </w:rPr>
        <w:t xml:space="preserve"> (Bronk Ramsey, 2017). Model 1</w:t>
      </w:r>
      <w:r w:rsidR="009C3DD1">
        <w:rPr>
          <w:rFonts w:ascii="Times New Roman" w:hAnsi="Times New Roman" w:cs="Times New Roman"/>
        </w:rPr>
        <w:t>3</w:t>
      </w:r>
      <w:r w:rsidRPr="009306E8">
        <w:rPr>
          <w:rFonts w:ascii="Times New Roman" w:hAnsi="Times New Roman" w:cs="Times New Roman"/>
        </w:rPr>
        <w:t xml:space="preserve"> was run with no outlier model. Model </w:t>
      </w:r>
      <w:r w:rsidR="009C3DD1">
        <w:rPr>
          <w:rFonts w:ascii="Times New Roman" w:hAnsi="Times New Roman" w:cs="Times New Roman"/>
        </w:rPr>
        <w:t>14</w:t>
      </w:r>
      <w:r w:rsidRPr="009306E8">
        <w:rPr>
          <w:rFonts w:ascii="Times New Roman" w:hAnsi="Times New Roman" w:cs="Times New Roman"/>
        </w:rPr>
        <w:t xml:space="preserve"> was run using a General outlier model. Model </w:t>
      </w:r>
      <w:r w:rsidR="009C3DD1">
        <w:rPr>
          <w:rFonts w:ascii="Times New Roman" w:hAnsi="Times New Roman" w:cs="Times New Roman"/>
        </w:rPr>
        <w:t>15</w:t>
      </w:r>
      <w:r w:rsidRPr="009306E8">
        <w:rPr>
          <w:rFonts w:ascii="Times New Roman" w:hAnsi="Times New Roman" w:cs="Times New Roman"/>
        </w:rPr>
        <w:t xml:space="preserve"> was run using a General outlier</w:t>
      </w:r>
      <w:r w:rsidR="00E34A10">
        <w:rPr>
          <w:rFonts w:ascii="Times New Roman" w:hAnsi="Times New Roman" w:cs="Times New Roman"/>
        </w:rPr>
        <w:t xml:space="preserve"> model</w:t>
      </w:r>
      <w:r w:rsidRPr="009306E8">
        <w:rPr>
          <w:rFonts w:ascii="Times New Roman" w:hAnsi="Times New Roman" w:cs="Times New Roman"/>
        </w:rPr>
        <w:t xml:space="preserve">, excluding </w:t>
      </w:r>
      <w:r>
        <w:rPr>
          <w:rFonts w:ascii="Times New Roman" w:hAnsi="Times New Roman" w:cs="Times New Roman"/>
        </w:rPr>
        <w:t xml:space="preserve">TCN </w:t>
      </w:r>
      <w:r w:rsidRPr="009306E8">
        <w:rPr>
          <w:rFonts w:ascii="Times New Roman" w:hAnsi="Times New Roman" w:cs="Times New Roman"/>
        </w:rPr>
        <w:t>dates with &lt;60% agreement indices in model 1. Modelled dates are reported at 2 σ uncertainty.</w:t>
      </w:r>
      <w:r w:rsidRPr="001214A8">
        <w:rPr>
          <w:rFonts w:ascii="Times New Roman" w:hAnsi="Times New Roman" w:cs="Times New Roman"/>
          <w:noProof/>
          <w:lang w:eastAsia="en-GB"/>
        </w:rPr>
        <w:t xml:space="preserve"> </w:t>
      </w:r>
      <w:r>
        <w:rPr>
          <w:rFonts w:ascii="Times New Roman" w:hAnsi="Times New Roman" w:cs="Times New Roman"/>
          <w:noProof/>
          <w:lang w:eastAsia="en-GB"/>
        </w:rPr>
        <w:t>Exposure ages were calculated using the Arctic production rate</w:t>
      </w:r>
      <w:r w:rsidR="00FE28F9">
        <w:rPr>
          <w:rFonts w:ascii="Times New Roman" w:hAnsi="Times New Roman" w:cs="Times New Roman"/>
          <w:noProof/>
          <w:lang w:eastAsia="en-GB"/>
        </w:rPr>
        <w:t xml:space="preserve"> (Young et al., 2013)</w:t>
      </w:r>
      <w:r>
        <w:rPr>
          <w:rFonts w:ascii="Times New Roman" w:hAnsi="Times New Roman" w:cs="Times New Roman"/>
          <w:noProof/>
          <w:lang w:eastAsia="en-GB"/>
        </w:rPr>
        <w:t xml:space="preserve"> and Lal/Stone scaling method.</w:t>
      </w:r>
    </w:p>
    <w:p w14:paraId="52DC6084" w14:textId="77777777" w:rsidR="003A18BA" w:rsidRDefault="003A18BA" w:rsidP="004523D7">
      <w:pPr>
        <w:rPr>
          <w:rFonts w:ascii="Times New Roman" w:hAnsi="Times New Roman" w:cs="Times New Roman"/>
          <w:noProof/>
          <w:lang w:eastAsia="en-GB"/>
        </w:rPr>
      </w:pPr>
    </w:p>
    <w:p w14:paraId="119ECF9E" w14:textId="7E8FFD1A" w:rsidR="004523D7" w:rsidRDefault="009C3DD1" w:rsidP="004523D7">
      <w:pPr>
        <w:rPr>
          <w:rFonts w:ascii="Times New Roman" w:hAnsi="Times New Roman" w:cs="Times New Roman"/>
          <w:noProof/>
          <w:lang w:eastAsia="en-GB"/>
        </w:rPr>
      </w:pPr>
      <w:r>
        <w:rPr>
          <w:rFonts w:cstheme="minorHAnsi"/>
          <w:noProof/>
          <w:lang w:eastAsia="en-GB"/>
        </w:rPr>
        <w:drawing>
          <wp:inline distT="0" distB="0" distL="0" distR="0" wp14:anchorId="74EDCB33" wp14:editId="63A74E8F">
            <wp:extent cx="5731510" cy="276542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dels 16.17.18.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31510" cy="2765425"/>
                    </a:xfrm>
                    <a:prstGeom prst="rect">
                      <a:avLst/>
                    </a:prstGeom>
                  </pic:spPr>
                </pic:pic>
              </a:graphicData>
            </a:graphic>
          </wp:inline>
        </w:drawing>
      </w:r>
    </w:p>
    <w:p w14:paraId="6FF57D60" w14:textId="10721ECA" w:rsidR="004523D7" w:rsidRDefault="004523D7" w:rsidP="004523D7">
      <w:pPr>
        <w:rPr>
          <w:rFonts w:ascii="Times New Roman" w:hAnsi="Times New Roman" w:cs="Times New Roman"/>
          <w:noProof/>
          <w:lang w:eastAsia="en-GB"/>
        </w:rPr>
      </w:pPr>
      <w:r w:rsidRPr="009306E8">
        <w:rPr>
          <w:rFonts w:ascii="Times New Roman" w:hAnsi="Times New Roman" w:cs="Times New Roman"/>
        </w:rPr>
        <w:t>Figure S</w:t>
      </w:r>
      <w:r>
        <w:rPr>
          <w:rFonts w:ascii="Times New Roman" w:hAnsi="Times New Roman" w:cs="Times New Roman"/>
        </w:rPr>
        <w:t>6</w:t>
      </w:r>
      <w:r w:rsidRPr="009306E8">
        <w:rPr>
          <w:rFonts w:ascii="Times New Roman" w:hAnsi="Times New Roman" w:cs="Times New Roman"/>
        </w:rPr>
        <w:t>.</w:t>
      </w:r>
      <w:r>
        <w:rPr>
          <w:rFonts w:ascii="Times New Roman" w:hAnsi="Times New Roman" w:cs="Times New Roman"/>
        </w:rPr>
        <w:t xml:space="preserve"> </w:t>
      </w:r>
      <w:r w:rsidRPr="009306E8">
        <w:rPr>
          <w:rFonts w:ascii="Times New Roman" w:hAnsi="Times New Roman" w:cs="Times New Roman"/>
        </w:rPr>
        <w:t>Outputs from Oxcal sequence models</w:t>
      </w:r>
      <w:r w:rsidR="009C3DD1">
        <w:rPr>
          <w:rFonts w:ascii="Times New Roman" w:hAnsi="Times New Roman" w:cs="Times New Roman"/>
        </w:rPr>
        <w:t xml:space="preserve"> 16, 17 and 18,</w:t>
      </w:r>
      <w:r w:rsidRPr="009306E8">
        <w:rPr>
          <w:rFonts w:ascii="Times New Roman" w:hAnsi="Times New Roman" w:cs="Times New Roman"/>
        </w:rPr>
        <w:t xml:space="preserve"> from </w:t>
      </w:r>
      <w:r>
        <w:rPr>
          <w:rFonts w:ascii="Times New Roman" w:hAnsi="Times New Roman" w:cs="Times New Roman"/>
        </w:rPr>
        <w:t>southern</w:t>
      </w:r>
      <w:r w:rsidRPr="009306E8">
        <w:rPr>
          <w:rFonts w:ascii="Times New Roman" w:hAnsi="Times New Roman" w:cs="Times New Roman"/>
        </w:rPr>
        <w:t xml:space="preserve"> study sites </w:t>
      </w:r>
      <w:r>
        <w:rPr>
          <w:rFonts w:ascii="Times New Roman" w:hAnsi="Times New Roman" w:cs="Times New Roman"/>
        </w:rPr>
        <w:t>(</w:t>
      </w:r>
      <w:r w:rsidRPr="00E839D4">
        <w:rPr>
          <w:rFonts w:ascii="Times New Roman" w:hAnsi="Times New Roman" w:cs="Times New Roman"/>
        </w:rPr>
        <w:t>Cap Mountain summit and Lower Franklin Mountains</w:t>
      </w:r>
      <w:r>
        <w:rPr>
          <w:rFonts w:ascii="Times New Roman" w:hAnsi="Times New Roman" w:cs="Times New Roman"/>
        </w:rPr>
        <w:t>)</w:t>
      </w:r>
      <w:r w:rsidRPr="009306E8">
        <w:rPr>
          <w:rFonts w:ascii="Times New Roman" w:hAnsi="Times New Roman" w:cs="Times New Roman"/>
        </w:rPr>
        <w:t xml:space="preserve"> (Bronk Ramsey, 2017). Model 1</w:t>
      </w:r>
      <w:r w:rsidR="009C3DD1">
        <w:rPr>
          <w:rFonts w:ascii="Times New Roman" w:hAnsi="Times New Roman" w:cs="Times New Roman"/>
        </w:rPr>
        <w:t>6</w:t>
      </w:r>
      <w:r w:rsidRPr="009306E8">
        <w:rPr>
          <w:rFonts w:ascii="Times New Roman" w:hAnsi="Times New Roman" w:cs="Times New Roman"/>
        </w:rPr>
        <w:t xml:space="preserve"> was run with no outlier model. Model </w:t>
      </w:r>
      <w:r w:rsidR="009C3DD1">
        <w:rPr>
          <w:rFonts w:ascii="Times New Roman" w:hAnsi="Times New Roman" w:cs="Times New Roman"/>
        </w:rPr>
        <w:t>17</w:t>
      </w:r>
      <w:r w:rsidRPr="009306E8">
        <w:rPr>
          <w:rFonts w:ascii="Times New Roman" w:hAnsi="Times New Roman" w:cs="Times New Roman"/>
        </w:rPr>
        <w:t xml:space="preserve"> was run using a General outlier model. Model </w:t>
      </w:r>
      <w:r w:rsidR="009C3DD1">
        <w:rPr>
          <w:rFonts w:ascii="Times New Roman" w:hAnsi="Times New Roman" w:cs="Times New Roman"/>
        </w:rPr>
        <w:t>18</w:t>
      </w:r>
      <w:r w:rsidRPr="009306E8">
        <w:rPr>
          <w:rFonts w:ascii="Times New Roman" w:hAnsi="Times New Roman" w:cs="Times New Roman"/>
        </w:rPr>
        <w:t xml:space="preserve"> was run using a General outlier</w:t>
      </w:r>
      <w:r w:rsidR="00E34A10">
        <w:rPr>
          <w:rFonts w:ascii="Times New Roman" w:hAnsi="Times New Roman" w:cs="Times New Roman"/>
        </w:rPr>
        <w:t xml:space="preserve"> model</w:t>
      </w:r>
      <w:r w:rsidRPr="009306E8">
        <w:rPr>
          <w:rFonts w:ascii="Times New Roman" w:hAnsi="Times New Roman" w:cs="Times New Roman"/>
        </w:rPr>
        <w:t>, excluding TCN dates with &lt;60% agreement indices in model 1. Modelled dates are reported at 2 σ uncertainty.</w:t>
      </w:r>
      <w:r>
        <w:rPr>
          <w:rFonts w:ascii="Times New Roman" w:hAnsi="Times New Roman" w:cs="Times New Roman"/>
        </w:rPr>
        <w:t xml:space="preserve"> </w:t>
      </w:r>
      <w:r>
        <w:rPr>
          <w:rFonts w:ascii="Times New Roman" w:hAnsi="Times New Roman" w:cs="Times New Roman"/>
          <w:noProof/>
          <w:lang w:eastAsia="en-GB"/>
        </w:rPr>
        <w:t>Exposure ages were calculated using the Arctic production rate</w:t>
      </w:r>
      <w:r w:rsidR="00FE28F9">
        <w:rPr>
          <w:rFonts w:ascii="Times New Roman" w:hAnsi="Times New Roman" w:cs="Times New Roman"/>
          <w:noProof/>
          <w:lang w:eastAsia="en-GB"/>
        </w:rPr>
        <w:t xml:space="preserve"> (Young et al., 2013)</w:t>
      </w:r>
      <w:r>
        <w:rPr>
          <w:rFonts w:ascii="Times New Roman" w:hAnsi="Times New Roman" w:cs="Times New Roman"/>
          <w:noProof/>
          <w:lang w:eastAsia="en-GB"/>
        </w:rPr>
        <w:t xml:space="preserve"> and Lal/Stone scaling method.</w:t>
      </w:r>
    </w:p>
    <w:p w14:paraId="7FC148EE" w14:textId="37D7C363" w:rsidR="004523D7" w:rsidRDefault="004523D7" w:rsidP="004523D7">
      <w:pPr>
        <w:keepNext/>
        <w:rPr>
          <w:rFonts w:ascii="Times New Roman" w:hAnsi="Times New Roman" w:cs="Times New Roman"/>
        </w:rPr>
      </w:pPr>
    </w:p>
    <w:p w14:paraId="560FBE53" w14:textId="1ECA0ACB" w:rsidR="0084489E" w:rsidRDefault="00D85B84" w:rsidP="0084489E">
      <w:pPr>
        <w:rPr>
          <w:rFonts w:ascii="Times New Roman" w:hAnsi="Times New Roman" w:cs="Times New Roman"/>
        </w:rPr>
      </w:pPr>
      <w:r>
        <w:rPr>
          <w:noProof/>
          <w:lang w:eastAsia="en-GB"/>
        </w:rPr>
        <w:drawing>
          <wp:inline distT="0" distB="0" distL="0" distR="0" wp14:anchorId="480CDAEC" wp14:editId="2AC407A2">
            <wp:extent cx="4403144" cy="7945582"/>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rthern code 5.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414746" cy="7966517"/>
                    </a:xfrm>
                    <a:prstGeom prst="rect">
                      <a:avLst/>
                    </a:prstGeom>
                  </pic:spPr>
                </pic:pic>
              </a:graphicData>
            </a:graphic>
          </wp:inline>
        </w:drawing>
      </w:r>
    </w:p>
    <w:p w14:paraId="35055A68" w14:textId="6B6F86BC" w:rsidR="0084489E" w:rsidRDefault="0084489E" w:rsidP="0084489E">
      <w:pPr>
        <w:rPr>
          <w:rFonts w:ascii="Times New Roman" w:hAnsi="Times New Roman" w:cs="Times New Roman"/>
        </w:rPr>
      </w:pPr>
      <w:r w:rsidRPr="009306E8">
        <w:rPr>
          <w:rFonts w:ascii="Times New Roman" w:hAnsi="Times New Roman" w:cs="Times New Roman"/>
        </w:rPr>
        <w:t>Figure S</w:t>
      </w:r>
      <w:r w:rsidR="004523D7">
        <w:rPr>
          <w:rFonts w:ascii="Times New Roman" w:hAnsi="Times New Roman" w:cs="Times New Roman"/>
        </w:rPr>
        <w:t>7</w:t>
      </w:r>
      <w:r w:rsidRPr="009306E8">
        <w:rPr>
          <w:rFonts w:ascii="Times New Roman" w:hAnsi="Times New Roman" w:cs="Times New Roman"/>
        </w:rPr>
        <w:t>.</w:t>
      </w:r>
      <w:r>
        <w:rPr>
          <w:rFonts w:ascii="Times New Roman" w:hAnsi="Times New Roman" w:cs="Times New Roman"/>
        </w:rPr>
        <w:t xml:space="preserve"> In</w:t>
      </w:r>
      <w:r w:rsidRPr="009306E8">
        <w:rPr>
          <w:rFonts w:ascii="Times New Roman" w:hAnsi="Times New Roman" w:cs="Times New Roman"/>
        </w:rPr>
        <w:t xml:space="preserve">puts from Oxcal sequence models from </w:t>
      </w:r>
      <w:r>
        <w:rPr>
          <w:rFonts w:ascii="Times New Roman" w:hAnsi="Times New Roman" w:cs="Times New Roman"/>
        </w:rPr>
        <w:t>northern</w:t>
      </w:r>
      <w:r w:rsidRPr="009306E8">
        <w:rPr>
          <w:rFonts w:ascii="Times New Roman" w:hAnsi="Times New Roman" w:cs="Times New Roman"/>
        </w:rPr>
        <w:t xml:space="preserve"> s</w:t>
      </w:r>
      <w:r>
        <w:rPr>
          <w:rFonts w:ascii="Times New Roman" w:hAnsi="Times New Roman" w:cs="Times New Roman"/>
        </w:rPr>
        <w:t>tudy sites (</w:t>
      </w:r>
      <w:r w:rsidRPr="00E839D4">
        <w:rPr>
          <w:rFonts w:ascii="Times New Roman" w:hAnsi="Times New Roman" w:cs="Times New Roman"/>
        </w:rPr>
        <w:t>Katherine Creek, Norman Range and the Mackenzie Valley</w:t>
      </w:r>
      <w:r>
        <w:rPr>
          <w:rFonts w:ascii="Times New Roman" w:hAnsi="Times New Roman" w:cs="Times New Roman"/>
        </w:rPr>
        <w:t>) (Bronk Ramsey, 2017)</w:t>
      </w:r>
      <w:r w:rsidRPr="009306E8">
        <w:rPr>
          <w:rFonts w:ascii="Times New Roman" w:hAnsi="Times New Roman" w:cs="Times New Roman"/>
        </w:rPr>
        <w:tab/>
      </w:r>
    </w:p>
    <w:p w14:paraId="296A22F8" w14:textId="77777777" w:rsidR="0084489E" w:rsidRDefault="0084489E" w:rsidP="0084489E">
      <w:pPr>
        <w:rPr>
          <w:rFonts w:ascii="Times New Roman" w:hAnsi="Times New Roman" w:cs="Times New Roman"/>
        </w:rPr>
      </w:pPr>
      <w:r>
        <w:rPr>
          <w:rFonts w:ascii="Times New Roman" w:hAnsi="Times New Roman" w:cs="Times New Roman"/>
          <w:noProof/>
          <w:lang w:eastAsia="en-GB"/>
        </w:rPr>
        <w:lastRenderedPageBreak/>
        <w:drawing>
          <wp:inline distT="0" distB="0" distL="0" distR="0" wp14:anchorId="062FDF27" wp14:editId="75908D97">
            <wp:extent cx="5731510" cy="7183755"/>
            <wp:effectExtent l="0" t="0" r="2540" b="0"/>
            <wp:docPr id="5" name="Picture 5" descr="Shap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Shape&#10;&#10;Description automatically generated with medium confidenc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31510" cy="7183755"/>
                    </a:xfrm>
                    <a:prstGeom prst="rect">
                      <a:avLst/>
                    </a:prstGeom>
                  </pic:spPr>
                </pic:pic>
              </a:graphicData>
            </a:graphic>
          </wp:inline>
        </w:drawing>
      </w:r>
    </w:p>
    <w:p w14:paraId="67CC601B" w14:textId="0BF157B0" w:rsidR="0084489E" w:rsidRDefault="0084489E" w:rsidP="0084489E">
      <w:pPr>
        <w:rPr>
          <w:rFonts w:ascii="Times New Roman" w:hAnsi="Times New Roman" w:cs="Times New Roman"/>
        </w:rPr>
      </w:pPr>
      <w:r w:rsidRPr="009306E8">
        <w:rPr>
          <w:rFonts w:ascii="Times New Roman" w:hAnsi="Times New Roman" w:cs="Times New Roman"/>
        </w:rPr>
        <w:t>Figure S</w:t>
      </w:r>
      <w:r w:rsidR="004523D7">
        <w:rPr>
          <w:rFonts w:ascii="Times New Roman" w:hAnsi="Times New Roman" w:cs="Times New Roman"/>
        </w:rPr>
        <w:t>8</w:t>
      </w:r>
      <w:r w:rsidRPr="009306E8">
        <w:rPr>
          <w:rFonts w:ascii="Times New Roman" w:hAnsi="Times New Roman" w:cs="Times New Roman"/>
        </w:rPr>
        <w:t>.</w:t>
      </w:r>
      <w:r>
        <w:rPr>
          <w:rFonts w:ascii="Times New Roman" w:hAnsi="Times New Roman" w:cs="Times New Roman"/>
        </w:rPr>
        <w:t xml:space="preserve"> In</w:t>
      </w:r>
      <w:r w:rsidRPr="009306E8">
        <w:rPr>
          <w:rFonts w:ascii="Times New Roman" w:hAnsi="Times New Roman" w:cs="Times New Roman"/>
        </w:rPr>
        <w:t xml:space="preserve">puts from Oxcal sequence models from </w:t>
      </w:r>
      <w:r>
        <w:rPr>
          <w:rFonts w:ascii="Times New Roman" w:hAnsi="Times New Roman" w:cs="Times New Roman"/>
        </w:rPr>
        <w:t>southern</w:t>
      </w:r>
      <w:r w:rsidRPr="009306E8">
        <w:rPr>
          <w:rFonts w:ascii="Times New Roman" w:hAnsi="Times New Roman" w:cs="Times New Roman"/>
        </w:rPr>
        <w:t xml:space="preserve"> s</w:t>
      </w:r>
      <w:r>
        <w:rPr>
          <w:rFonts w:ascii="Times New Roman" w:hAnsi="Times New Roman" w:cs="Times New Roman"/>
        </w:rPr>
        <w:t>tudy sites (</w:t>
      </w:r>
      <w:r w:rsidRPr="00E839D4">
        <w:rPr>
          <w:rFonts w:ascii="Times New Roman" w:hAnsi="Times New Roman" w:cs="Times New Roman"/>
        </w:rPr>
        <w:t>Cap Mountain summit and Lower Franklin Mountains</w:t>
      </w:r>
      <w:r>
        <w:rPr>
          <w:rFonts w:ascii="Times New Roman" w:hAnsi="Times New Roman" w:cs="Times New Roman"/>
        </w:rPr>
        <w:t>) (Bronk Ramsey, 2017)</w:t>
      </w:r>
      <w:r w:rsidRPr="009306E8">
        <w:rPr>
          <w:rFonts w:ascii="Times New Roman" w:hAnsi="Times New Roman" w:cs="Times New Roman"/>
        </w:rPr>
        <w:tab/>
      </w:r>
      <w:r w:rsidRPr="009306E8">
        <w:rPr>
          <w:rFonts w:ascii="Times New Roman" w:hAnsi="Times New Roman" w:cs="Times New Roman"/>
        </w:rPr>
        <w:tab/>
      </w:r>
      <w:r w:rsidRPr="009306E8">
        <w:rPr>
          <w:rFonts w:ascii="Times New Roman" w:hAnsi="Times New Roman" w:cs="Times New Roman"/>
        </w:rPr>
        <w:tab/>
      </w:r>
      <w:r w:rsidRPr="009306E8">
        <w:rPr>
          <w:rFonts w:ascii="Times New Roman" w:hAnsi="Times New Roman" w:cs="Times New Roman"/>
        </w:rPr>
        <w:tab/>
      </w:r>
      <w:r w:rsidRPr="009306E8">
        <w:rPr>
          <w:rFonts w:ascii="Times New Roman" w:hAnsi="Times New Roman" w:cs="Times New Roman"/>
        </w:rPr>
        <w:tab/>
      </w:r>
      <w:r w:rsidRPr="009306E8">
        <w:rPr>
          <w:rFonts w:ascii="Times New Roman" w:hAnsi="Times New Roman" w:cs="Times New Roman"/>
        </w:rPr>
        <w:tab/>
      </w:r>
      <w:r w:rsidRPr="009306E8">
        <w:rPr>
          <w:rFonts w:ascii="Times New Roman" w:hAnsi="Times New Roman" w:cs="Times New Roman"/>
        </w:rPr>
        <w:tab/>
      </w:r>
      <w:r w:rsidRPr="009306E8">
        <w:rPr>
          <w:rFonts w:ascii="Times New Roman" w:hAnsi="Times New Roman" w:cs="Times New Roman"/>
        </w:rPr>
        <w:tab/>
      </w:r>
      <w:r w:rsidRPr="009306E8">
        <w:rPr>
          <w:rFonts w:ascii="Times New Roman" w:hAnsi="Times New Roman" w:cs="Times New Roman"/>
        </w:rPr>
        <w:tab/>
      </w:r>
      <w:r w:rsidRPr="009306E8">
        <w:rPr>
          <w:rFonts w:ascii="Times New Roman" w:hAnsi="Times New Roman" w:cs="Times New Roman"/>
        </w:rPr>
        <w:tab/>
      </w:r>
      <w:r w:rsidRPr="009306E8">
        <w:rPr>
          <w:rFonts w:ascii="Times New Roman" w:hAnsi="Times New Roman" w:cs="Times New Roman"/>
        </w:rPr>
        <w:tab/>
      </w:r>
    </w:p>
    <w:p w14:paraId="2BDC79AA" w14:textId="77777777" w:rsidR="00E34A10" w:rsidRDefault="00E34A10" w:rsidP="00E34A10">
      <w:pPr>
        <w:keepNext/>
      </w:pPr>
      <w:r>
        <w:rPr>
          <w:noProof/>
        </w:rPr>
        <w:lastRenderedPageBreak/>
        <w:drawing>
          <wp:inline distT="0" distB="0" distL="0" distR="0" wp14:anchorId="02B8DE64" wp14:editId="09384B3E">
            <wp:extent cx="5731510" cy="3425825"/>
            <wp:effectExtent l="0" t="0" r="2540" b="3175"/>
            <wp:docPr id="3" name="Chart 3">
              <a:extLst xmlns:a="http://schemas.openxmlformats.org/drawingml/2006/main">
                <a:ext uri="{FF2B5EF4-FFF2-40B4-BE49-F238E27FC236}">
                  <a16:creationId xmlns:a16="http://schemas.microsoft.com/office/drawing/2014/main" id="{D6EA4678-4082-6974-3FE5-004D4074744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44344886" w14:textId="77777777" w:rsidR="00E34A10" w:rsidRDefault="00E34A10" w:rsidP="00E34A10">
      <w:pPr>
        <w:keepNext/>
      </w:pPr>
      <w:r>
        <w:t>Figure S9. Scatter plot of boulder height and exposure age for the northern sites (Katherine Creek, Norman Range, Mackenzie Valley). Note the lack of relationship between boulder height and exposure age, suggesting that the influence of snow cover or any surface till layer was minor.</w:t>
      </w:r>
    </w:p>
    <w:p w14:paraId="24CF0763" w14:textId="77777777" w:rsidR="00E34A10" w:rsidRDefault="00E34A10" w:rsidP="00E34A10">
      <w:pPr>
        <w:rPr>
          <w:b/>
        </w:rPr>
      </w:pPr>
      <w:r>
        <w:rPr>
          <w:noProof/>
        </w:rPr>
        <w:drawing>
          <wp:inline distT="0" distB="0" distL="0" distR="0" wp14:anchorId="4FAB43BF" wp14:editId="7852C606">
            <wp:extent cx="5731510" cy="3425825"/>
            <wp:effectExtent l="0" t="0" r="2540" b="3175"/>
            <wp:docPr id="10" name="Chart 10">
              <a:extLst xmlns:a="http://schemas.openxmlformats.org/drawingml/2006/main">
                <a:ext uri="{FF2B5EF4-FFF2-40B4-BE49-F238E27FC236}">
                  <a16:creationId xmlns:a16="http://schemas.microsoft.com/office/drawing/2014/main" id="{D6EA4678-4082-6974-3FE5-004D4074744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355B181D" w14:textId="77777777" w:rsidR="00E34A10" w:rsidRDefault="00E34A10" w:rsidP="00E34A10">
      <w:pPr>
        <w:keepNext/>
      </w:pPr>
      <w:r>
        <w:t>Figure S10. Scatter plot of boulder height and exposure age for the southern sites (Cap Mountain, lower Franklin Mountains). Note the lack of relationship between boulder height and exposure age, suggesting that the influence of snow cover or any surface till layer was minor.</w:t>
      </w:r>
    </w:p>
    <w:p w14:paraId="7DDD98DB" w14:textId="408546CF" w:rsidR="001214A8" w:rsidRDefault="001214A8" w:rsidP="001214A8">
      <w:pPr>
        <w:keepNext/>
      </w:pPr>
    </w:p>
    <w:p w14:paraId="00CDB8A6" w14:textId="77777777" w:rsidR="00AB5D1F" w:rsidRDefault="00AB5D1F"/>
    <w:sectPr w:rsidR="00AB5D1F">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46DEEC" w14:textId="77777777" w:rsidR="00233562" w:rsidRDefault="00233562" w:rsidP="00E34A10">
      <w:pPr>
        <w:spacing w:after="0" w:line="240" w:lineRule="auto"/>
      </w:pPr>
      <w:r>
        <w:separator/>
      </w:r>
    </w:p>
  </w:endnote>
  <w:endnote w:type="continuationSeparator" w:id="0">
    <w:p w14:paraId="465536D3" w14:textId="77777777" w:rsidR="00233562" w:rsidRDefault="00233562" w:rsidP="00E34A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44670B" w14:textId="77777777" w:rsidR="00233562" w:rsidRDefault="00233562" w:rsidP="00E34A10">
      <w:pPr>
        <w:spacing w:after="0" w:line="240" w:lineRule="auto"/>
      </w:pPr>
      <w:r>
        <w:separator/>
      </w:r>
    </w:p>
  </w:footnote>
  <w:footnote w:type="continuationSeparator" w:id="0">
    <w:p w14:paraId="40FF9171" w14:textId="77777777" w:rsidR="00233562" w:rsidRDefault="00233562" w:rsidP="00E34A10">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D5837"/>
    <w:rsid w:val="000819E1"/>
    <w:rsid w:val="000B42AE"/>
    <w:rsid w:val="001214A8"/>
    <w:rsid w:val="001571FA"/>
    <w:rsid w:val="00193B92"/>
    <w:rsid w:val="001C5477"/>
    <w:rsid w:val="001E1148"/>
    <w:rsid w:val="00227FDF"/>
    <w:rsid w:val="00233562"/>
    <w:rsid w:val="002B7F20"/>
    <w:rsid w:val="00316AB6"/>
    <w:rsid w:val="003A18BA"/>
    <w:rsid w:val="003D1C8D"/>
    <w:rsid w:val="004523D7"/>
    <w:rsid w:val="004857B2"/>
    <w:rsid w:val="004E7D8F"/>
    <w:rsid w:val="005F58C8"/>
    <w:rsid w:val="0062231D"/>
    <w:rsid w:val="00626730"/>
    <w:rsid w:val="00694779"/>
    <w:rsid w:val="0072409D"/>
    <w:rsid w:val="00821D7B"/>
    <w:rsid w:val="0084489E"/>
    <w:rsid w:val="008C4C2D"/>
    <w:rsid w:val="00940107"/>
    <w:rsid w:val="009B376D"/>
    <w:rsid w:val="009C3DD1"/>
    <w:rsid w:val="00A35A3C"/>
    <w:rsid w:val="00AB5D1F"/>
    <w:rsid w:val="00AE3D85"/>
    <w:rsid w:val="00B524F4"/>
    <w:rsid w:val="00B93190"/>
    <w:rsid w:val="00BC5DFF"/>
    <w:rsid w:val="00C65971"/>
    <w:rsid w:val="00D159E0"/>
    <w:rsid w:val="00D24962"/>
    <w:rsid w:val="00D85B84"/>
    <w:rsid w:val="00DC2319"/>
    <w:rsid w:val="00E3334A"/>
    <w:rsid w:val="00E34A10"/>
    <w:rsid w:val="00E456F1"/>
    <w:rsid w:val="00EE7366"/>
    <w:rsid w:val="00F4693D"/>
    <w:rsid w:val="00F575B5"/>
    <w:rsid w:val="00FD5837"/>
    <w:rsid w:val="00FE28F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15ADB9"/>
  <w15:docId w15:val="{0351858B-D9E2-4E42-8545-03D64B422C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nhideWhenUsed/>
    <w:rsid w:val="00940107"/>
    <w:rPr>
      <w:sz w:val="16"/>
      <w:szCs w:val="16"/>
    </w:rPr>
  </w:style>
  <w:style w:type="paragraph" w:styleId="CommentText">
    <w:name w:val="annotation text"/>
    <w:basedOn w:val="Normal"/>
    <w:link w:val="CommentTextChar"/>
    <w:unhideWhenUsed/>
    <w:rsid w:val="00940107"/>
    <w:pPr>
      <w:spacing w:line="240" w:lineRule="auto"/>
    </w:pPr>
    <w:rPr>
      <w:sz w:val="20"/>
      <w:szCs w:val="20"/>
    </w:rPr>
  </w:style>
  <w:style w:type="character" w:customStyle="1" w:styleId="CommentTextChar">
    <w:name w:val="Comment Text Char"/>
    <w:basedOn w:val="DefaultParagraphFont"/>
    <w:link w:val="CommentText"/>
    <w:rsid w:val="00940107"/>
    <w:rPr>
      <w:sz w:val="20"/>
      <w:szCs w:val="20"/>
    </w:rPr>
  </w:style>
  <w:style w:type="paragraph" w:styleId="CommentSubject">
    <w:name w:val="annotation subject"/>
    <w:basedOn w:val="CommentText"/>
    <w:next w:val="CommentText"/>
    <w:link w:val="CommentSubjectChar"/>
    <w:uiPriority w:val="99"/>
    <w:semiHidden/>
    <w:unhideWhenUsed/>
    <w:rsid w:val="00940107"/>
    <w:rPr>
      <w:b/>
      <w:bCs/>
    </w:rPr>
  </w:style>
  <w:style w:type="character" w:customStyle="1" w:styleId="CommentSubjectChar">
    <w:name w:val="Comment Subject Char"/>
    <w:basedOn w:val="CommentTextChar"/>
    <w:link w:val="CommentSubject"/>
    <w:uiPriority w:val="99"/>
    <w:semiHidden/>
    <w:rsid w:val="00940107"/>
    <w:rPr>
      <w:b/>
      <w:bCs/>
      <w:sz w:val="20"/>
      <w:szCs w:val="20"/>
    </w:rPr>
  </w:style>
  <w:style w:type="paragraph" w:styleId="Caption">
    <w:name w:val="caption"/>
    <w:basedOn w:val="Normal"/>
    <w:next w:val="Normal"/>
    <w:uiPriority w:val="35"/>
    <w:unhideWhenUsed/>
    <w:qFormat/>
    <w:rsid w:val="004E7D8F"/>
    <w:pPr>
      <w:spacing w:after="200" w:line="240" w:lineRule="auto"/>
    </w:pPr>
    <w:rPr>
      <w:b/>
      <w:bCs/>
      <w:color w:val="4472C4" w:themeColor="accent1"/>
      <w:sz w:val="18"/>
      <w:szCs w:val="18"/>
    </w:rPr>
  </w:style>
  <w:style w:type="paragraph" w:styleId="Header">
    <w:name w:val="header"/>
    <w:basedOn w:val="Normal"/>
    <w:link w:val="HeaderChar"/>
    <w:uiPriority w:val="99"/>
    <w:unhideWhenUsed/>
    <w:rsid w:val="00E34A10"/>
    <w:pPr>
      <w:tabs>
        <w:tab w:val="center" w:pos="4513"/>
        <w:tab w:val="right" w:pos="9026"/>
      </w:tabs>
      <w:spacing w:after="0" w:line="240" w:lineRule="auto"/>
    </w:pPr>
  </w:style>
  <w:style w:type="character" w:customStyle="1" w:styleId="HeaderChar">
    <w:name w:val="Header Char"/>
    <w:basedOn w:val="DefaultParagraphFont"/>
    <w:link w:val="Header"/>
    <w:uiPriority w:val="99"/>
    <w:rsid w:val="00E34A10"/>
  </w:style>
  <w:style w:type="paragraph" w:styleId="Footer">
    <w:name w:val="footer"/>
    <w:basedOn w:val="Normal"/>
    <w:link w:val="FooterChar"/>
    <w:uiPriority w:val="99"/>
    <w:unhideWhenUsed/>
    <w:rsid w:val="00E34A10"/>
    <w:pPr>
      <w:tabs>
        <w:tab w:val="center" w:pos="4513"/>
        <w:tab w:val="right" w:pos="9026"/>
      </w:tabs>
      <w:spacing w:after="0" w:line="240" w:lineRule="auto"/>
    </w:pPr>
  </w:style>
  <w:style w:type="character" w:customStyle="1" w:styleId="FooterChar">
    <w:name w:val="Footer Char"/>
    <w:basedOn w:val="DefaultParagraphFont"/>
    <w:link w:val="Footer"/>
    <w:uiPriority w:val="99"/>
    <w:rsid w:val="00E34A1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image" Target="media/image7.png"/><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tiff"/><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chart" Target="charts/chart2.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chart" Target="charts/chart1.xml"/></Relationships>
</file>

<file path=word/charts/_rels/chart1.xml.rels><?xml version="1.0" encoding="UTF-8" standalone="yes"?>
<Relationships xmlns="http://schemas.openxmlformats.org/package/2006/relationships"><Relationship Id="rId3" Type="http://schemas.openxmlformats.org/officeDocument/2006/relationships/oleObject" Target="file:///E:\Northwestern%20Laurentide%20Ice%20Sheet\NW%2018%20Cosmo%20samples\GIA%20corrections\Reyes%20ages.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E:\Northwestern%20Laurentide%20Ice%20Sheet\NW%2018%20Cosmo%20samples\GIA%20corrections\Reyes%20ages.xlsx" TargetMode="External"/><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GB"/>
              <a:t>Northern sites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0"/>
          <c:order val="0"/>
          <c:tx>
            <c:v>Norman Range</c:v>
          </c:tx>
          <c:spPr>
            <a:ln w="25400" cap="rnd">
              <a:noFill/>
              <a:round/>
            </a:ln>
            <a:effectLst/>
          </c:spPr>
          <c:marker>
            <c:symbol val="circle"/>
            <c:size val="5"/>
            <c:spPr>
              <a:solidFill>
                <a:schemeClr val="accent1"/>
              </a:solidFill>
              <a:ln w="9525">
                <a:solidFill>
                  <a:schemeClr val="accent1"/>
                </a:solidFill>
              </a:ln>
              <a:effectLst/>
            </c:spPr>
          </c:marker>
          <c:xVal>
            <c:numRef>
              <c:f>Sheet1!$C$2:$C$3</c:f>
              <c:numCache>
                <c:formatCode>General</c:formatCode>
                <c:ptCount val="2"/>
                <c:pt idx="0">
                  <c:v>0.6</c:v>
                </c:pt>
                <c:pt idx="1">
                  <c:v>1</c:v>
                </c:pt>
              </c:numCache>
            </c:numRef>
          </c:xVal>
          <c:yVal>
            <c:numRef>
              <c:f>Sheet1!$B$2:$B$3</c:f>
              <c:numCache>
                <c:formatCode>General</c:formatCode>
                <c:ptCount val="2"/>
                <c:pt idx="0">
                  <c:v>13182</c:v>
                </c:pt>
                <c:pt idx="1">
                  <c:v>13305</c:v>
                </c:pt>
              </c:numCache>
            </c:numRef>
          </c:yVal>
          <c:smooth val="0"/>
          <c:extLst>
            <c:ext xmlns:c16="http://schemas.microsoft.com/office/drawing/2014/chart" uri="{C3380CC4-5D6E-409C-BE32-E72D297353CC}">
              <c16:uniqueId val="{00000000-3FBD-4FD2-97FF-6A93C549C409}"/>
            </c:ext>
          </c:extLst>
        </c:ser>
        <c:ser>
          <c:idx val="1"/>
          <c:order val="1"/>
          <c:tx>
            <c:v>Katherine Creek</c:v>
          </c:tx>
          <c:spPr>
            <a:ln w="25400" cap="rnd">
              <a:noFill/>
              <a:round/>
            </a:ln>
            <a:effectLst/>
          </c:spPr>
          <c:marker>
            <c:symbol val="circle"/>
            <c:size val="5"/>
            <c:spPr>
              <a:solidFill>
                <a:schemeClr val="accent2"/>
              </a:solidFill>
              <a:ln w="9525">
                <a:solidFill>
                  <a:schemeClr val="accent2"/>
                </a:solidFill>
              </a:ln>
              <a:effectLst/>
            </c:spPr>
          </c:marker>
          <c:xVal>
            <c:numRef>
              <c:f>Sheet1!$C$4:$C$6</c:f>
              <c:numCache>
                <c:formatCode>General</c:formatCode>
                <c:ptCount val="3"/>
                <c:pt idx="0">
                  <c:v>0.4</c:v>
                </c:pt>
                <c:pt idx="1">
                  <c:v>0.5</c:v>
                </c:pt>
                <c:pt idx="2">
                  <c:v>0.6</c:v>
                </c:pt>
              </c:numCache>
            </c:numRef>
          </c:xVal>
          <c:yVal>
            <c:numRef>
              <c:f>Sheet1!$B$4:$B$6</c:f>
              <c:numCache>
                <c:formatCode>General</c:formatCode>
                <c:ptCount val="3"/>
                <c:pt idx="0">
                  <c:v>16709</c:v>
                </c:pt>
                <c:pt idx="1">
                  <c:v>15968</c:v>
                </c:pt>
                <c:pt idx="2">
                  <c:v>16076</c:v>
                </c:pt>
              </c:numCache>
            </c:numRef>
          </c:yVal>
          <c:smooth val="0"/>
          <c:extLst>
            <c:ext xmlns:c16="http://schemas.microsoft.com/office/drawing/2014/chart" uri="{C3380CC4-5D6E-409C-BE32-E72D297353CC}">
              <c16:uniqueId val="{00000001-3FBD-4FD2-97FF-6A93C549C409}"/>
            </c:ext>
          </c:extLst>
        </c:ser>
        <c:ser>
          <c:idx val="2"/>
          <c:order val="2"/>
          <c:tx>
            <c:v>Mackenzie Valley</c:v>
          </c:tx>
          <c:spPr>
            <a:ln w="25400" cap="rnd">
              <a:noFill/>
              <a:round/>
            </a:ln>
            <a:effectLst/>
          </c:spPr>
          <c:marker>
            <c:symbol val="circle"/>
            <c:size val="5"/>
            <c:spPr>
              <a:solidFill>
                <a:schemeClr val="accent3"/>
              </a:solidFill>
              <a:ln w="9525">
                <a:solidFill>
                  <a:schemeClr val="accent3"/>
                </a:solidFill>
              </a:ln>
              <a:effectLst/>
            </c:spPr>
          </c:marker>
          <c:xVal>
            <c:numRef>
              <c:f>Sheet1!$C$11:$C$14</c:f>
              <c:numCache>
                <c:formatCode>General</c:formatCode>
                <c:ptCount val="4"/>
                <c:pt idx="0">
                  <c:v>0.3</c:v>
                </c:pt>
                <c:pt idx="1">
                  <c:v>0.6</c:v>
                </c:pt>
                <c:pt idx="2">
                  <c:v>0.4</c:v>
                </c:pt>
                <c:pt idx="3">
                  <c:v>0.2</c:v>
                </c:pt>
              </c:numCache>
            </c:numRef>
          </c:xVal>
          <c:yVal>
            <c:numRef>
              <c:f>Sheet1!$B$11:$B$14</c:f>
              <c:numCache>
                <c:formatCode>General</c:formatCode>
                <c:ptCount val="4"/>
                <c:pt idx="0">
                  <c:v>12724</c:v>
                </c:pt>
                <c:pt idx="1">
                  <c:v>14496</c:v>
                </c:pt>
                <c:pt idx="2">
                  <c:v>18968</c:v>
                </c:pt>
                <c:pt idx="3">
                  <c:v>12682</c:v>
                </c:pt>
              </c:numCache>
            </c:numRef>
          </c:yVal>
          <c:smooth val="0"/>
          <c:extLst>
            <c:ext xmlns:c16="http://schemas.microsoft.com/office/drawing/2014/chart" uri="{C3380CC4-5D6E-409C-BE32-E72D297353CC}">
              <c16:uniqueId val="{00000002-3FBD-4FD2-97FF-6A93C549C409}"/>
            </c:ext>
          </c:extLst>
        </c:ser>
        <c:dLbls>
          <c:showLegendKey val="0"/>
          <c:showVal val="0"/>
          <c:showCatName val="0"/>
          <c:showSerName val="0"/>
          <c:showPercent val="0"/>
          <c:showBubbleSize val="0"/>
        </c:dLbls>
        <c:axId val="365923184"/>
        <c:axId val="365925104"/>
        <c:extLst>
          <c:ext xmlns:c15="http://schemas.microsoft.com/office/drawing/2012/chart" uri="{02D57815-91ED-43cb-92C2-25804820EDAC}">
            <c15:filteredScatterSeries>
              <c15:ser>
                <c:idx val="3"/>
                <c:order val="3"/>
                <c:tx>
                  <c:v>Cap Mountain</c:v>
                </c:tx>
                <c:spPr>
                  <a:ln w="25400" cap="rnd">
                    <a:noFill/>
                    <a:round/>
                  </a:ln>
                  <a:effectLst/>
                </c:spPr>
                <c:marker>
                  <c:symbol val="circle"/>
                  <c:size val="5"/>
                  <c:spPr>
                    <a:solidFill>
                      <a:schemeClr val="accent4"/>
                    </a:solidFill>
                    <a:ln w="9525">
                      <a:solidFill>
                        <a:schemeClr val="accent4"/>
                      </a:solidFill>
                    </a:ln>
                    <a:effectLst/>
                  </c:spPr>
                </c:marker>
                <c:xVal>
                  <c:numRef>
                    <c:extLst>
                      <c:ext uri="{02D57815-91ED-43cb-92C2-25804820EDAC}">
                        <c15:formulaRef>
                          <c15:sqref>Sheet1!$C$15:$C$22</c15:sqref>
                        </c15:formulaRef>
                      </c:ext>
                    </c:extLst>
                    <c:numCache>
                      <c:formatCode>General</c:formatCode>
                      <c:ptCount val="8"/>
                      <c:pt idx="0">
                        <c:v>0.6</c:v>
                      </c:pt>
                      <c:pt idx="1">
                        <c:v>0.2</c:v>
                      </c:pt>
                      <c:pt idx="2">
                        <c:v>0.2</c:v>
                      </c:pt>
                      <c:pt idx="3">
                        <c:v>0.35</c:v>
                      </c:pt>
                      <c:pt idx="4">
                        <c:v>1</c:v>
                      </c:pt>
                      <c:pt idx="5">
                        <c:v>0.6</c:v>
                      </c:pt>
                      <c:pt idx="6">
                        <c:v>1</c:v>
                      </c:pt>
                      <c:pt idx="7">
                        <c:v>0.4</c:v>
                      </c:pt>
                    </c:numCache>
                  </c:numRef>
                </c:xVal>
                <c:yVal>
                  <c:numRef>
                    <c:extLst>
                      <c:ext uri="{02D57815-91ED-43cb-92C2-25804820EDAC}">
                        <c15:formulaRef>
                          <c15:sqref>Sheet1!$B$15:$B$22</c15:sqref>
                        </c15:formulaRef>
                      </c:ext>
                    </c:extLst>
                    <c:numCache>
                      <c:formatCode>General</c:formatCode>
                      <c:ptCount val="8"/>
                      <c:pt idx="0">
                        <c:v>18616</c:v>
                      </c:pt>
                      <c:pt idx="1">
                        <c:v>16739</c:v>
                      </c:pt>
                      <c:pt idx="2">
                        <c:v>14841</c:v>
                      </c:pt>
                      <c:pt idx="3">
                        <c:v>14102</c:v>
                      </c:pt>
                      <c:pt idx="4">
                        <c:v>13498</c:v>
                      </c:pt>
                      <c:pt idx="5">
                        <c:v>14449</c:v>
                      </c:pt>
                      <c:pt idx="6">
                        <c:v>13965</c:v>
                      </c:pt>
                      <c:pt idx="7">
                        <c:v>17310</c:v>
                      </c:pt>
                    </c:numCache>
                  </c:numRef>
                </c:yVal>
                <c:smooth val="0"/>
                <c:extLst>
                  <c:ext xmlns:c16="http://schemas.microsoft.com/office/drawing/2014/chart" uri="{C3380CC4-5D6E-409C-BE32-E72D297353CC}">
                    <c16:uniqueId val="{00000003-3FBD-4FD2-97FF-6A93C549C409}"/>
                  </c:ext>
                </c:extLst>
              </c15:ser>
            </c15:filteredScatterSeries>
            <c15:filteredScatterSeries>
              <c15:ser>
                <c:idx val="4"/>
                <c:order val="4"/>
                <c:tx>
                  <c:v>Franklin Mountains lower</c:v>
                </c:tx>
                <c:spPr>
                  <a:ln w="25400" cap="rnd">
                    <a:noFill/>
                    <a:round/>
                  </a:ln>
                  <a:effectLst/>
                </c:spPr>
                <c:marker>
                  <c:symbol val="circle"/>
                  <c:size val="5"/>
                  <c:spPr>
                    <a:solidFill>
                      <a:schemeClr val="accent5"/>
                    </a:solidFill>
                    <a:ln w="9525">
                      <a:solidFill>
                        <a:schemeClr val="accent5"/>
                      </a:solidFill>
                    </a:ln>
                    <a:effectLst/>
                  </c:spPr>
                </c:marker>
                <c:xVal>
                  <c:numRef>
                    <c:extLst xmlns:c15="http://schemas.microsoft.com/office/drawing/2012/chart">
                      <c:ext xmlns:c15="http://schemas.microsoft.com/office/drawing/2012/chart" uri="{02D57815-91ED-43cb-92C2-25804820EDAC}">
                        <c15:formulaRef>
                          <c15:sqref>Sheet1!$C$23:$C$28</c15:sqref>
                        </c15:formulaRef>
                      </c:ext>
                    </c:extLst>
                    <c:numCache>
                      <c:formatCode>General</c:formatCode>
                      <c:ptCount val="6"/>
                      <c:pt idx="0">
                        <c:v>0.4</c:v>
                      </c:pt>
                      <c:pt idx="1">
                        <c:v>0.5</c:v>
                      </c:pt>
                      <c:pt idx="2">
                        <c:v>0.4</c:v>
                      </c:pt>
                      <c:pt idx="3">
                        <c:v>0.5</c:v>
                      </c:pt>
                      <c:pt idx="4">
                        <c:v>0.7</c:v>
                      </c:pt>
                      <c:pt idx="5">
                        <c:v>1.2</c:v>
                      </c:pt>
                    </c:numCache>
                  </c:numRef>
                </c:xVal>
                <c:yVal>
                  <c:numRef>
                    <c:extLst xmlns:c15="http://schemas.microsoft.com/office/drawing/2012/chart">
                      <c:ext xmlns:c15="http://schemas.microsoft.com/office/drawing/2012/chart" uri="{02D57815-91ED-43cb-92C2-25804820EDAC}">
                        <c15:formulaRef>
                          <c15:sqref>Sheet1!$B$23:$B$28</c15:sqref>
                        </c15:formulaRef>
                      </c:ext>
                    </c:extLst>
                    <c:numCache>
                      <c:formatCode>General</c:formatCode>
                      <c:ptCount val="6"/>
                      <c:pt idx="0">
                        <c:v>14344</c:v>
                      </c:pt>
                      <c:pt idx="1">
                        <c:v>15306</c:v>
                      </c:pt>
                      <c:pt idx="2">
                        <c:v>14670</c:v>
                      </c:pt>
                      <c:pt idx="3">
                        <c:v>12918</c:v>
                      </c:pt>
                      <c:pt idx="4">
                        <c:v>13749</c:v>
                      </c:pt>
                      <c:pt idx="5">
                        <c:v>13304</c:v>
                      </c:pt>
                    </c:numCache>
                  </c:numRef>
                </c:yVal>
                <c:smooth val="0"/>
                <c:extLst xmlns:c15="http://schemas.microsoft.com/office/drawing/2012/chart">
                  <c:ext xmlns:c16="http://schemas.microsoft.com/office/drawing/2014/chart" uri="{C3380CC4-5D6E-409C-BE32-E72D297353CC}">
                    <c16:uniqueId val="{00000004-3FBD-4FD2-97FF-6A93C549C409}"/>
                  </c:ext>
                </c:extLst>
              </c15:ser>
            </c15:filteredScatterSeries>
          </c:ext>
        </c:extLst>
      </c:scatterChart>
      <c:valAx>
        <c:axId val="365923184"/>
        <c:scaling>
          <c:orientation val="minMax"/>
          <c:min val="0.1"/>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GB"/>
                  <a:t>Boulder height (m)</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65925104"/>
        <c:crosses val="autoZero"/>
        <c:crossBetween val="midCat"/>
      </c:valAx>
      <c:valAx>
        <c:axId val="365925104"/>
        <c:scaling>
          <c:orientation val="minMax"/>
          <c:min val="120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GB"/>
                  <a:t>Exposure age (yr)</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65923184"/>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GB"/>
              <a:t>Southern sites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3"/>
          <c:order val="3"/>
          <c:tx>
            <c:v>Cap Mountain</c:v>
          </c:tx>
          <c:spPr>
            <a:ln w="25400" cap="rnd">
              <a:noFill/>
              <a:round/>
            </a:ln>
            <a:effectLst/>
          </c:spPr>
          <c:marker>
            <c:symbol val="circle"/>
            <c:size val="5"/>
            <c:spPr>
              <a:solidFill>
                <a:schemeClr val="accent4"/>
              </a:solidFill>
              <a:ln w="9525">
                <a:solidFill>
                  <a:schemeClr val="accent4"/>
                </a:solidFill>
              </a:ln>
              <a:effectLst/>
            </c:spPr>
          </c:marker>
          <c:xVal>
            <c:numRef>
              <c:f>Sheet1!$C$15:$C$22</c:f>
              <c:numCache>
                <c:formatCode>General</c:formatCode>
                <c:ptCount val="8"/>
                <c:pt idx="0">
                  <c:v>0.6</c:v>
                </c:pt>
                <c:pt idx="1">
                  <c:v>0.2</c:v>
                </c:pt>
                <c:pt idx="2">
                  <c:v>0.2</c:v>
                </c:pt>
                <c:pt idx="3">
                  <c:v>0.35</c:v>
                </c:pt>
                <c:pt idx="4">
                  <c:v>1</c:v>
                </c:pt>
                <c:pt idx="5">
                  <c:v>0.6</c:v>
                </c:pt>
                <c:pt idx="6">
                  <c:v>1</c:v>
                </c:pt>
                <c:pt idx="7">
                  <c:v>0.4</c:v>
                </c:pt>
              </c:numCache>
            </c:numRef>
          </c:xVal>
          <c:yVal>
            <c:numRef>
              <c:f>Sheet1!$B$15:$B$22</c:f>
              <c:numCache>
                <c:formatCode>General</c:formatCode>
                <c:ptCount val="8"/>
                <c:pt idx="0">
                  <c:v>18616</c:v>
                </c:pt>
                <c:pt idx="1">
                  <c:v>16739</c:v>
                </c:pt>
                <c:pt idx="2">
                  <c:v>14841</c:v>
                </c:pt>
                <c:pt idx="3">
                  <c:v>14102</c:v>
                </c:pt>
                <c:pt idx="4">
                  <c:v>13498</c:v>
                </c:pt>
                <c:pt idx="5">
                  <c:v>14449</c:v>
                </c:pt>
                <c:pt idx="6">
                  <c:v>13965</c:v>
                </c:pt>
                <c:pt idx="7">
                  <c:v>17310</c:v>
                </c:pt>
              </c:numCache>
            </c:numRef>
          </c:yVal>
          <c:smooth val="0"/>
          <c:extLst>
            <c:ext xmlns:c16="http://schemas.microsoft.com/office/drawing/2014/chart" uri="{C3380CC4-5D6E-409C-BE32-E72D297353CC}">
              <c16:uniqueId val="{00000000-BE9D-4236-AA2B-48568B801F8E}"/>
            </c:ext>
          </c:extLst>
        </c:ser>
        <c:ser>
          <c:idx val="4"/>
          <c:order val="4"/>
          <c:tx>
            <c:v>Franklin Mountains lower</c:v>
          </c:tx>
          <c:spPr>
            <a:ln w="25400" cap="rnd">
              <a:noFill/>
              <a:round/>
            </a:ln>
            <a:effectLst/>
          </c:spPr>
          <c:marker>
            <c:symbol val="circle"/>
            <c:size val="5"/>
            <c:spPr>
              <a:solidFill>
                <a:schemeClr val="accent5"/>
              </a:solidFill>
              <a:ln w="9525">
                <a:solidFill>
                  <a:schemeClr val="accent5"/>
                </a:solidFill>
              </a:ln>
              <a:effectLst/>
            </c:spPr>
          </c:marker>
          <c:xVal>
            <c:numRef>
              <c:f>Sheet1!$C$23:$C$28</c:f>
              <c:numCache>
                <c:formatCode>General</c:formatCode>
                <c:ptCount val="6"/>
                <c:pt idx="0">
                  <c:v>0.4</c:v>
                </c:pt>
                <c:pt idx="1">
                  <c:v>0.5</c:v>
                </c:pt>
                <c:pt idx="2">
                  <c:v>0.4</c:v>
                </c:pt>
                <c:pt idx="3">
                  <c:v>0.5</c:v>
                </c:pt>
                <c:pt idx="4">
                  <c:v>0.7</c:v>
                </c:pt>
                <c:pt idx="5">
                  <c:v>1.2</c:v>
                </c:pt>
              </c:numCache>
            </c:numRef>
          </c:xVal>
          <c:yVal>
            <c:numRef>
              <c:f>Sheet1!$B$23:$B$28</c:f>
              <c:numCache>
                <c:formatCode>General</c:formatCode>
                <c:ptCount val="6"/>
                <c:pt idx="0">
                  <c:v>14344</c:v>
                </c:pt>
                <c:pt idx="1">
                  <c:v>15306</c:v>
                </c:pt>
                <c:pt idx="2">
                  <c:v>14670</c:v>
                </c:pt>
                <c:pt idx="3">
                  <c:v>12918</c:v>
                </c:pt>
                <c:pt idx="4">
                  <c:v>13749</c:v>
                </c:pt>
                <c:pt idx="5">
                  <c:v>13304</c:v>
                </c:pt>
              </c:numCache>
            </c:numRef>
          </c:yVal>
          <c:smooth val="0"/>
          <c:extLst>
            <c:ext xmlns:c16="http://schemas.microsoft.com/office/drawing/2014/chart" uri="{C3380CC4-5D6E-409C-BE32-E72D297353CC}">
              <c16:uniqueId val="{00000001-BE9D-4236-AA2B-48568B801F8E}"/>
            </c:ext>
          </c:extLst>
        </c:ser>
        <c:dLbls>
          <c:showLegendKey val="0"/>
          <c:showVal val="0"/>
          <c:showCatName val="0"/>
          <c:showSerName val="0"/>
          <c:showPercent val="0"/>
          <c:showBubbleSize val="0"/>
        </c:dLbls>
        <c:axId val="365923184"/>
        <c:axId val="365925104"/>
        <c:extLst>
          <c:ext xmlns:c15="http://schemas.microsoft.com/office/drawing/2012/chart" uri="{02D57815-91ED-43cb-92C2-25804820EDAC}">
            <c15:filteredScatterSeries>
              <c15:ser>
                <c:idx val="0"/>
                <c:order val="0"/>
                <c:tx>
                  <c:v>Norman Range</c:v>
                </c:tx>
                <c:spPr>
                  <a:ln w="25400" cap="rnd">
                    <a:noFill/>
                    <a:round/>
                  </a:ln>
                  <a:effectLst/>
                </c:spPr>
                <c:marker>
                  <c:symbol val="circle"/>
                  <c:size val="5"/>
                  <c:spPr>
                    <a:solidFill>
                      <a:schemeClr val="accent1"/>
                    </a:solidFill>
                    <a:ln w="9525">
                      <a:solidFill>
                        <a:schemeClr val="accent1"/>
                      </a:solidFill>
                    </a:ln>
                    <a:effectLst/>
                  </c:spPr>
                </c:marker>
                <c:xVal>
                  <c:numRef>
                    <c:extLst>
                      <c:ext uri="{02D57815-91ED-43cb-92C2-25804820EDAC}">
                        <c15:formulaRef>
                          <c15:sqref>Sheet1!$C$2:$C$3</c15:sqref>
                        </c15:formulaRef>
                      </c:ext>
                    </c:extLst>
                    <c:numCache>
                      <c:formatCode>General</c:formatCode>
                      <c:ptCount val="2"/>
                      <c:pt idx="0">
                        <c:v>0.6</c:v>
                      </c:pt>
                      <c:pt idx="1">
                        <c:v>1</c:v>
                      </c:pt>
                    </c:numCache>
                  </c:numRef>
                </c:xVal>
                <c:yVal>
                  <c:numRef>
                    <c:extLst>
                      <c:ext uri="{02D57815-91ED-43cb-92C2-25804820EDAC}">
                        <c15:formulaRef>
                          <c15:sqref>Sheet1!$B$2:$B$3</c15:sqref>
                        </c15:formulaRef>
                      </c:ext>
                    </c:extLst>
                    <c:numCache>
                      <c:formatCode>General</c:formatCode>
                      <c:ptCount val="2"/>
                      <c:pt idx="0">
                        <c:v>13182</c:v>
                      </c:pt>
                      <c:pt idx="1">
                        <c:v>13305</c:v>
                      </c:pt>
                    </c:numCache>
                  </c:numRef>
                </c:yVal>
                <c:smooth val="0"/>
                <c:extLst>
                  <c:ext xmlns:c16="http://schemas.microsoft.com/office/drawing/2014/chart" uri="{C3380CC4-5D6E-409C-BE32-E72D297353CC}">
                    <c16:uniqueId val="{00000002-BE9D-4236-AA2B-48568B801F8E}"/>
                  </c:ext>
                </c:extLst>
              </c15:ser>
            </c15:filteredScatterSeries>
            <c15:filteredScatterSeries>
              <c15:ser>
                <c:idx val="1"/>
                <c:order val="1"/>
                <c:tx>
                  <c:v>Katherine Creek</c:v>
                </c:tx>
                <c:spPr>
                  <a:ln w="25400" cap="rnd">
                    <a:noFill/>
                    <a:round/>
                  </a:ln>
                  <a:effectLst/>
                </c:spPr>
                <c:marker>
                  <c:symbol val="circle"/>
                  <c:size val="5"/>
                  <c:spPr>
                    <a:solidFill>
                      <a:schemeClr val="accent2"/>
                    </a:solidFill>
                    <a:ln w="9525">
                      <a:solidFill>
                        <a:schemeClr val="accent2"/>
                      </a:solidFill>
                    </a:ln>
                    <a:effectLst/>
                  </c:spPr>
                </c:marker>
                <c:xVal>
                  <c:numRef>
                    <c:extLst xmlns:c15="http://schemas.microsoft.com/office/drawing/2012/chart">
                      <c:ext xmlns:c15="http://schemas.microsoft.com/office/drawing/2012/chart" uri="{02D57815-91ED-43cb-92C2-25804820EDAC}">
                        <c15:formulaRef>
                          <c15:sqref>Sheet1!$C$4:$C$6</c15:sqref>
                        </c15:formulaRef>
                      </c:ext>
                    </c:extLst>
                    <c:numCache>
                      <c:formatCode>General</c:formatCode>
                      <c:ptCount val="3"/>
                      <c:pt idx="0">
                        <c:v>0.4</c:v>
                      </c:pt>
                      <c:pt idx="1">
                        <c:v>0.5</c:v>
                      </c:pt>
                      <c:pt idx="2">
                        <c:v>0.6</c:v>
                      </c:pt>
                    </c:numCache>
                  </c:numRef>
                </c:xVal>
                <c:yVal>
                  <c:numRef>
                    <c:extLst xmlns:c15="http://schemas.microsoft.com/office/drawing/2012/chart">
                      <c:ext xmlns:c15="http://schemas.microsoft.com/office/drawing/2012/chart" uri="{02D57815-91ED-43cb-92C2-25804820EDAC}">
                        <c15:formulaRef>
                          <c15:sqref>Sheet1!$B$4:$B$6</c15:sqref>
                        </c15:formulaRef>
                      </c:ext>
                    </c:extLst>
                    <c:numCache>
                      <c:formatCode>General</c:formatCode>
                      <c:ptCount val="3"/>
                      <c:pt idx="0">
                        <c:v>16709</c:v>
                      </c:pt>
                      <c:pt idx="1">
                        <c:v>15968</c:v>
                      </c:pt>
                      <c:pt idx="2">
                        <c:v>16076</c:v>
                      </c:pt>
                    </c:numCache>
                  </c:numRef>
                </c:yVal>
                <c:smooth val="0"/>
                <c:extLst xmlns:c15="http://schemas.microsoft.com/office/drawing/2012/chart">
                  <c:ext xmlns:c16="http://schemas.microsoft.com/office/drawing/2014/chart" uri="{C3380CC4-5D6E-409C-BE32-E72D297353CC}">
                    <c16:uniqueId val="{00000003-BE9D-4236-AA2B-48568B801F8E}"/>
                  </c:ext>
                </c:extLst>
              </c15:ser>
            </c15:filteredScatterSeries>
            <c15:filteredScatterSeries>
              <c15:ser>
                <c:idx val="2"/>
                <c:order val="2"/>
                <c:tx>
                  <c:v>Mackenzie Valley</c:v>
                </c:tx>
                <c:spPr>
                  <a:ln w="25400" cap="rnd">
                    <a:noFill/>
                    <a:round/>
                  </a:ln>
                  <a:effectLst/>
                </c:spPr>
                <c:marker>
                  <c:symbol val="circle"/>
                  <c:size val="5"/>
                  <c:spPr>
                    <a:solidFill>
                      <a:schemeClr val="accent3"/>
                    </a:solidFill>
                    <a:ln w="9525">
                      <a:solidFill>
                        <a:schemeClr val="accent3"/>
                      </a:solidFill>
                    </a:ln>
                    <a:effectLst/>
                  </c:spPr>
                </c:marker>
                <c:xVal>
                  <c:numRef>
                    <c:extLst xmlns:c15="http://schemas.microsoft.com/office/drawing/2012/chart">
                      <c:ext xmlns:c15="http://schemas.microsoft.com/office/drawing/2012/chart" uri="{02D57815-91ED-43cb-92C2-25804820EDAC}">
                        <c15:formulaRef>
                          <c15:sqref>Sheet1!$C$11:$C$14</c15:sqref>
                        </c15:formulaRef>
                      </c:ext>
                    </c:extLst>
                    <c:numCache>
                      <c:formatCode>General</c:formatCode>
                      <c:ptCount val="4"/>
                      <c:pt idx="0">
                        <c:v>0.3</c:v>
                      </c:pt>
                      <c:pt idx="1">
                        <c:v>0.6</c:v>
                      </c:pt>
                      <c:pt idx="2">
                        <c:v>0.4</c:v>
                      </c:pt>
                      <c:pt idx="3">
                        <c:v>0.2</c:v>
                      </c:pt>
                    </c:numCache>
                  </c:numRef>
                </c:xVal>
                <c:yVal>
                  <c:numRef>
                    <c:extLst xmlns:c15="http://schemas.microsoft.com/office/drawing/2012/chart">
                      <c:ext xmlns:c15="http://schemas.microsoft.com/office/drawing/2012/chart" uri="{02D57815-91ED-43cb-92C2-25804820EDAC}">
                        <c15:formulaRef>
                          <c15:sqref>Sheet1!$B$11:$B$14</c15:sqref>
                        </c15:formulaRef>
                      </c:ext>
                    </c:extLst>
                    <c:numCache>
                      <c:formatCode>General</c:formatCode>
                      <c:ptCount val="4"/>
                      <c:pt idx="0">
                        <c:v>12724</c:v>
                      </c:pt>
                      <c:pt idx="1">
                        <c:v>14496</c:v>
                      </c:pt>
                      <c:pt idx="2">
                        <c:v>18968</c:v>
                      </c:pt>
                      <c:pt idx="3">
                        <c:v>12682</c:v>
                      </c:pt>
                    </c:numCache>
                  </c:numRef>
                </c:yVal>
                <c:smooth val="0"/>
                <c:extLst xmlns:c15="http://schemas.microsoft.com/office/drawing/2012/chart">
                  <c:ext xmlns:c16="http://schemas.microsoft.com/office/drawing/2014/chart" uri="{C3380CC4-5D6E-409C-BE32-E72D297353CC}">
                    <c16:uniqueId val="{00000004-BE9D-4236-AA2B-48568B801F8E}"/>
                  </c:ext>
                </c:extLst>
              </c15:ser>
            </c15:filteredScatterSeries>
          </c:ext>
        </c:extLst>
      </c:scatterChart>
      <c:valAx>
        <c:axId val="365923184"/>
        <c:scaling>
          <c:orientation val="minMax"/>
          <c:min val="0.1"/>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GB"/>
                  <a:t>Boulder height (m)</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65925104"/>
        <c:crosses val="autoZero"/>
        <c:crossBetween val="midCat"/>
      </c:valAx>
      <c:valAx>
        <c:axId val="365925104"/>
        <c:scaling>
          <c:orientation val="minMax"/>
          <c:min val="120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GB"/>
                  <a:t>Exposure age (yr)</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65923184"/>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10</Pages>
  <Words>962</Words>
  <Characters>5486</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6436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Ben Stoker</dc:creator>
  <cp:keywords/>
  <dc:description/>
  <cp:lastModifiedBy>Ben Stoker</cp:lastModifiedBy>
  <cp:revision>5</cp:revision>
  <dcterms:created xsi:type="dcterms:W3CDTF">2022-06-14T20:13:00Z</dcterms:created>
  <dcterms:modified xsi:type="dcterms:W3CDTF">2022-09-25T22:01:00Z</dcterms:modified>
</cp:coreProperties>
</file>